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54" w:rsidRDefault="00864954">
      <w:pPr>
        <w:jc w:val="center"/>
        <w:rPr>
          <w:sz w:val="32"/>
          <w:szCs w:val="32"/>
        </w:rPr>
      </w:pPr>
      <w:r>
        <w:rPr>
          <w:noProof/>
        </w:rPr>
        <w:pict>
          <v:shapetype id="_x0000_t202" coordsize="21600,21600" o:spt="202" path="m,l,21600r21600,l21600,xe">
            <v:stroke joinstyle="miter"/>
            <v:path gradientshapeok="t" o:connecttype="rect"/>
          </v:shapetype>
          <v:shape id="文本框 7" o:spid="_x0000_s1026" type="#_x0000_t202" style="position:absolute;left:0;text-align:left;margin-left:674.3pt;margin-top:23.45pt;width:115.9pt;height:18pt;z-index:-251721216" strokecolor="#5b9bd5" strokeweight=".5pt">
            <v:textbox style="mso-next-textbox:#文本框 7">
              <w:txbxContent>
                <w:p w:rsidR="00864954" w:rsidRDefault="00864954">
                  <w:pPr>
                    <w:rPr>
                      <w:sz w:val="11"/>
                      <w:szCs w:val="11"/>
                    </w:rPr>
                  </w:pPr>
                  <w:r>
                    <w:rPr>
                      <w:rFonts w:hint="eastAsia"/>
                      <w:sz w:val="11"/>
                      <w:szCs w:val="11"/>
                    </w:rPr>
                    <w:t>送达延期（分期）缴纳罚款决定书</w:t>
                  </w:r>
                </w:p>
              </w:txbxContent>
            </v:textbox>
          </v:shape>
        </w:pict>
      </w:r>
      <w:r>
        <w:rPr>
          <w:rFonts w:hint="eastAsia"/>
          <w:sz w:val="32"/>
          <w:szCs w:val="32"/>
        </w:rPr>
        <w:t>质量技术监督行政处罚一般程序流程图</w:t>
      </w:r>
    </w:p>
    <w:p w:rsidR="00864954" w:rsidRDefault="00864954">
      <w:pPr>
        <w:rPr>
          <w:rFonts w:ascii="仿宋" w:eastAsia="仿宋" w:hAnsi="仿宋" w:cs="仿宋"/>
          <w:szCs w:val="21"/>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746.85pt;margin-top:10.2pt;width:.7pt;height:12pt;flip:x;z-index:251644416" strokecolor="#41719c" strokeweight="1pt">
            <v:stroke startarrow="block" joinstyle="miter"/>
          </v:shape>
        </w:pict>
      </w:r>
      <w:r>
        <w:rPr>
          <w:noProof/>
        </w:rPr>
        <w:pict>
          <v:shape id="_x0000_s1028" type="#_x0000_t202" style="position:absolute;left:0;text-align:left;margin-left:492.85pt;margin-top:13.2pt;width:77.2pt;height:21.35pt;z-index:-251716096" strokecolor="#5b9bd5" strokeweight=".5pt">
            <v:textbox style="mso-next-textbox:#_x0000_s1028">
              <w:txbxContent>
                <w:p w:rsidR="00864954" w:rsidRDefault="00864954">
                  <w:pPr>
                    <w:rPr>
                      <w:sz w:val="11"/>
                      <w:szCs w:val="11"/>
                    </w:rPr>
                  </w:pPr>
                  <w:r>
                    <w:rPr>
                      <w:rFonts w:hint="eastAsia"/>
                      <w:sz w:val="11"/>
                      <w:szCs w:val="11"/>
                    </w:rPr>
                    <w:t>报上一级质监部门批准</w:t>
                  </w:r>
                </w:p>
              </w:txbxContent>
            </v:textbox>
          </v:shape>
        </w:pict>
      </w:r>
      <w:r>
        <w:rPr>
          <w:noProof/>
        </w:rPr>
        <w:pict>
          <v:shape id="_x0000_s1029" type="#_x0000_t202" style="position:absolute;left:0;text-align:left;margin-left:452.6pt;margin-top:.35pt;width:41.55pt;height:19.1pt;z-index:-251717120" stroked="f" strokeweight=".5pt">
            <v:textbox style="mso-next-textbox:#_x0000_s1029">
              <w:txbxContent>
                <w:p w:rsidR="00864954" w:rsidRDefault="00864954">
                  <w:pPr>
                    <w:rPr>
                      <w:sz w:val="10"/>
                      <w:szCs w:val="10"/>
                    </w:rPr>
                  </w:pPr>
                  <w:r>
                    <w:rPr>
                      <w:rFonts w:hint="eastAsia"/>
                      <w:sz w:val="10"/>
                      <w:szCs w:val="10"/>
                    </w:rPr>
                    <w:t>仍需延期的</w:t>
                  </w:r>
                </w:p>
              </w:txbxContent>
            </v:textbox>
          </v:shape>
        </w:pict>
      </w:r>
      <w:r>
        <w:rPr>
          <w:noProof/>
        </w:rPr>
        <w:pict>
          <v:shape id="_x0000_s1030" type="#_x0000_t202" style="position:absolute;left:0;text-align:left;margin-left:230.6pt;margin-top:11.7pt;width:216.2pt;height:30.05pt;z-index:-251690496" strokecolor="#5b9bd5" strokeweight=".5pt">
            <v:textbox style="mso-next-textbox:#_x0000_s1030">
              <w:txbxContent>
                <w:p w:rsidR="00864954" w:rsidRDefault="00864954">
                  <w:pPr>
                    <w:adjustRightInd w:val="0"/>
                    <w:snapToGrid w:val="0"/>
                    <w:spacing w:line="240" w:lineRule="exact"/>
                    <w:rPr>
                      <w:sz w:val="11"/>
                      <w:szCs w:val="11"/>
                    </w:rPr>
                  </w:pPr>
                  <w:r>
                    <w:rPr>
                      <w:rFonts w:hint="eastAsia"/>
                      <w:sz w:val="11"/>
                      <w:szCs w:val="11"/>
                    </w:rPr>
                    <w:t>因案情复杂不能按期作出处理决定，报质监部门主要负责人批准延长</w:t>
                  </w:r>
                  <w:r>
                    <w:rPr>
                      <w:sz w:val="11"/>
                      <w:szCs w:val="11"/>
                    </w:rPr>
                    <w:t>30</w:t>
                  </w:r>
                  <w:r>
                    <w:rPr>
                      <w:rFonts w:hint="eastAsia"/>
                      <w:sz w:val="11"/>
                      <w:szCs w:val="11"/>
                    </w:rPr>
                    <w:t>日</w:t>
                  </w:r>
                </w:p>
              </w:txbxContent>
            </v:textbox>
          </v:shape>
        </w:pict>
      </w:r>
      <w:r>
        <w:rPr>
          <w:sz w:val="32"/>
          <w:szCs w:val="32"/>
        </w:rPr>
        <w:t xml:space="preserve"> </w:t>
      </w:r>
    </w:p>
    <w:p w:rsidR="00864954" w:rsidRDefault="00864954">
      <w:pPr>
        <w:rPr>
          <w:rFonts w:ascii="仿宋" w:eastAsia="仿宋" w:hAnsi="仿宋" w:cs="仿宋"/>
          <w:szCs w:val="21"/>
        </w:rPr>
      </w:pPr>
      <w:r>
        <w:rPr>
          <w:noProof/>
        </w:rPr>
        <w:pict>
          <v:shape id="_x0000_s1031" type="#_x0000_t202" style="position:absolute;left:0;text-align:left;margin-left:677.5pt;margin-top:6.65pt;width:106.9pt;height:19.6pt;z-index:-251719168" strokecolor="#5b9bd5" strokeweight=".5pt">
            <v:textbox style="mso-next-textbox:#_x0000_s1031">
              <w:txbxContent>
                <w:p w:rsidR="00864954" w:rsidRDefault="00864954">
                  <w:pPr>
                    <w:rPr>
                      <w:sz w:val="11"/>
                      <w:szCs w:val="11"/>
                    </w:rPr>
                  </w:pPr>
                  <w:r>
                    <w:rPr>
                      <w:rFonts w:hint="eastAsia"/>
                      <w:sz w:val="11"/>
                      <w:szCs w:val="11"/>
                    </w:rPr>
                    <w:t>质监部门主要负责人批准</w:t>
                  </w:r>
                </w:p>
              </w:txbxContent>
            </v:textbox>
          </v:shape>
        </w:pict>
      </w:r>
      <w:r>
        <w:rPr>
          <w:noProof/>
        </w:rPr>
        <w:pict>
          <v:line id="_x0000_s1032" style="position:absolute;left:0;text-align:left;z-index:251703808" from="449.15pt,8.65pt" to="488.4pt,8.65pt" strokecolor="#5b9bd5" strokeweight="1.25pt">
            <v:stroke dashstyle="1 1" endarrow="block" joinstyle="miter"/>
          </v:line>
        </w:pict>
      </w:r>
      <w:r>
        <w:rPr>
          <w:noProof/>
        </w:rPr>
        <w:pict>
          <v:line id="_x0000_s1033" style="position:absolute;left:0;text-align:left;z-index:251689472" from="182.05pt,7.25pt" to="221.3pt,7.25pt" strokecolor="#5b9bd5" strokeweight="1.25pt">
            <v:stroke dashstyle="1 1" endarrow="block" joinstyle="miter"/>
          </v:line>
        </w:pict>
      </w:r>
      <w:r>
        <w:rPr>
          <w:noProof/>
        </w:rPr>
        <w:pict>
          <v:shape id="_x0000_s1034" type="#_x0000_t32" style="position:absolute;left:0;text-align:left;margin-left:177.6pt;margin-top:4.3pt;width:1.15pt;height:91.9pt;flip:x;z-index:251693568" strokecolor="#41719c" strokeweight="1.25pt">
            <v:stroke dashstyle="1 1" joinstyle="miter"/>
          </v:shape>
        </w:pict>
      </w:r>
      <w:r>
        <w:rPr>
          <w:noProof/>
        </w:rPr>
        <w:pict>
          <v:shape id="_x0000_s1035" type="#_x0000_t202" style="position:absolute;left:0;text-align:left;margin-left:75.55pt;margin-top:5.25pt;width:88.6pt;height:24.65pt;z-index:251655680" strokecolor="#5b9bd5" strokeweight=".5pt">
            <v:textbox style="mso-next-textbox:#_x0000_s1035">
              <w:txbxContent>
                <w:p w:rsidR="00864954" w:rsidRDefault="00864954">
                  <w:pPr>
                    <w:spacing w:line="240" w:lineRule="exact"/>
                    <w:rPr>
                      <w:sz w:val="11"/>
                      <w:szCs w:val="11"/>
                    </w:rPr>
                  </w:pPr>
                  <w:r>
                    <w:rPr>
                      <w:rFonts w:hint="eastAsia"/>
                      <w:sz w:val="11"/>
                      <w:szCs w:val="11"/>
                    </w:rPr>
                    <w:t>登记保存或查封、扣押、封存</w:t>
                  </w:r>
                </w:p>
              </w:txbxContent>
            </v:textbox>
          </v:shape>
        </w:pict>
      </w:r>
    </w:p>
    <w:p w:rsidR="00864954" w:rsidRDefault="00864954">
      <w:pPr>
        <w:rPr>
          <w:rFonts w:ascii="仿宋" w:eastAsia="仿宋" w:hAnsi="仿宋" w:cs="仿宋"/>
          <w:szCs w:val="21"/>
        </w:rPr>
      </w:pPr>
      <w:r>
        <w:rPr>
          <w:noProof/>
        </w:rPr>
        <w:pict>
          <v:shape id="_x0000_s1036" type="#_x0000_t32" style="position:absolute;left:0;text-align:left;margin-left:741.1pt;margin-top:10.2pt;width:.05pt;height:9.05pt;flip:x;z-index:251643392" strokecolor="#41719c" strokeweight="1pt">
            <v:stroke startarrow="block" joinstyle="miter"/>
          </v:shape>
        </w:pict>
      </w:r>
      <w:r>
        <w:rPr>
          <w:noProof/>
        </w:rPr>
        <w:pict>
          <v:shape id="_x0000_s1037" type="#_x0000_t32" style="position:absolute;left:0;text-align:left;margin-left:115.75pt;margin-top:15.05pt;width:0;height:24.4pt;z-index:251653632" strokecolor="#41719c" strokeweight="1pt">
            <v:stroke dashstyle="1 1" startarrow="block" joinstyle="miter"/>
          </v:shape>
        </w:pict>
      </w:r>
    </w:p>
    <w:p w:rsidR="00864954" w:rsidRDefault="00864954">
      <w:pPr>
        <w:rPr>
          <w:rFonts w:ascii="仿宋" w:eastAsia="仿宋" w:hAnsi="仿宋" w:cs="仿宋"/>
          <w:sz w:val="11"/>
          <w:szCs w:val="11"/>
        </w:rPr>
      </w:pPr>
      <w:r>
        <w:rPr>
          <w:noProof/>
        </w:rPr>
        <w:pict>
          <v:shape id="_x0000_s1038" type="#_x0000_t202" style="position:absolute;left:0;text-align:left;margin-left:645.8pt;margin-top:3.85pt;width:128.65pt;height:19.7pt;z-index:251642368" strokecolor="#5b9bd5" strokeweight=".5pt">
            <v:textbox style="mso-next-textbox:#_x0000_s1038">
              <w:txbxContent>
                <w:p w:rsidR="00864954" w:rsidRDefault="00864954">
                  <w:pPr>
                    <w:adjustRightInd w:val="0"/>
                    <w:snapToGrid w:val="0"/>
                    <w:spacing w:line="240" w:lineRule="exact"/>
                    <w:rPr>
                      <w:sz w:val="11"/>
                      <w:szCs w:val="11"/>
                    </w:rPr>
                  </w:pPr>
                  <w:r>
                    <w:rPr>
                      <w:rFonts w:hint="eastAsia"/>
                      <w:sz w:val="11"/>
                      <w:szCs w:val="11"/>
                    </w:rPr>
                    <w:t>当事人确有经济困难，需延期或分期缴纳罚款的</w:t>
                  </w:r>
                </w:p>
              </w:txbxContent>
            </v:textbox>
          </v:shape>
        </w:pict>
      </w:r>
      <w:r>
        <w:rPr>
          <w:noProof/>
        </w:rPr>
        <w:pict>
          <v:shape id="_x0000_s1039" type="#_x0000_t32" style="position:absolute;left:0;text-align:left;margin-left:743.95pt;margin-top:22.35pt;width:.6pt;height:166.15pt;flip:x;z-index:251695616" strokecolor="#5b9bd5" strokeweight="1.25pt">
            <v:stroke dashstyle="1 1" startarrow="block" joinstyle="miter"/>
          </v:shape>
        </w:pict>
      </w:r>
      <w:r>
        <w:rPr>
          <w:noProof/>
        </w:rPr>
        <w:pict>
          <v:shape id="_x0000_s1040" type="#_x0000_t32" style="position:absolute;left:0;text-align:left;margin-left:140.85pt;margin-top:2.15pt;width:0;height:24.4pt;z-index:251654656" strokecolor="#41719c" strokeweight="1pt">
            <v:stroke dashstyle="1 1" endarrow="block" joinstyle="miter"/>
          </v:shape>
        </w:pict>
      </w:r>
      <w:r>
        <w:rPr>
          <w:rFonts w:ascii="仿宋" w:eastAsia="仿宋" w:hAnsi="仿宋" w:cs="仿宋"/>
          <w:szCs w:val="21"/>
        </w:rPr>
        <w:t xml:space="preserve">                   </w:t>
      </w:r>
      <w:r>
        <w:rPr>
          <w:rFonts w:ascii="仿宋" w:eastAsia="仿宋" w:hAnsi="仿宋" w:cs="仿宋" w:hint="eastAsia"/>
          <w:sz w:val="11"/>
          <w:szCs w:val="11"/>
        </w:rPr>
        <w:t>采取</w:t>
      </w:r>
      <w:r>
        <w:rPr>
          <w:rFonts w:ascii="仿宋" w:eastAsia="仿宋" w:hAnsi="仿宋" w:cs="仿宋"/>
          <w:szCs w:val="21"/>
        </w:rPr>
        <w:t xml:space="preserve">        </w:t>
      </w:r>
      <w:r>
        <w:rPr>
          <w:rFonts w:ascii="仿宋" w:eastAsia="仿宋" w:hAnsi="仿宋" w:cs="仿宋"/>
          <w:sz w:val="11"/>
          <w:szCs w:val="11"/>
        </w:rPr>
        <w:t xml:space="preserve"> </w:t>
      </w:r>
      <w:r>
        <w:rPr>
          <w:rFonts w:ascii="仿宋" w:eastAsia="仿宋" w:hAnsi="仿宋" w:cs="仿宋" w:hint="eastAsia"/>
          <w:sz w:val="11"/>
          <w:szCs w:val="11"/>
        </w:rPr>
        <w:t>解除</w:t>
      </w:r>
    </w:p>
    <w:p w:rsidR="00864954" w:rsidRDefault="00864954">
      <w:pPr>
        <w:rPr>
          <w:rFonts w:ascii="仿宋" w:eastAsia="仿宋" w:hAnsi="仿宋" w:cs="仿宋"/>
          <w:szCs w:val="21"/>
        </w:rPr>
      </w:pPr>
      <w:r>
        <w:rPr>
          <w:noProof/>
        </w:rPr>
        <w:pict>
          <v:shape id="文本框 3" o:spid="_x0000_s1041" type="#_x0000_t202" style="position:absolute;left:0;text-align:left;margin-left:714.75pt;margin-top:104.75pt;width:216.55pt;height:16.05pt;rotation:90;z-index:-251686400" strokecolor="#5b9bd5" strokeweight=".5pt">
            <v:textbox style="mso-next-textbox:#文本框 3">
              <w:txbxContent>
                <w:p w:rsidR="00864954" w:rsidRDefault="00864954">
                  <w:pPr>
                    <w:adjustRightInd w:val="0"/>
                    <w:snapToGrid w:val="0"/>
                    <w:spacing w:line="200" w:lineRule="exact"/>
                    <w:jc w:val="center"/>
                    <w:rPr>
                      <w:sz w:val="11"/>
                      <w:szCs w:val="11"/>
                    </w:rPr>
                  </w:pPr>
                  <w:bookmarkStart w:id="0" w:name="_GoBack"/>
                  <w:bookmarkEnd w:id="0"/>
                  <w:r>
                    <w:rPr>
                      <w:rFonts w:hint="eastAsia"/>
                      <w:sz w:val="11"/>
                      <w:szCs w:val="11"/>
                    </w:rPr>
                    <w:t>十五日内向上一级质监局或本级政府办理报备</w:t>
                  </w:r>
                </w:p>
              </w:txbxContent>
            </v:textbox>
          </v:shape>
        </w:pict>
      </w:r>
      <w:r>
        <w:rPr>
          <w:noProof/>
        </w:rPr>
        <w:pict>
          <v:shape id="_x0000_s1042" type="#_x0000_t202" style="position:absolute;left:0;text-align:left;margin-left:684.35pt;margin-top:98.45pt;width:197.8pt;height:14.5pt;rotation:90;z-index:251715072" strokecolor="#5b9bd5" strokeweight=".5pt">
            <v:textbox style="mso-next-textbox:#_x0000_s1042">
              <w:txbxContent>
                <w:p w:rsidR="00864954" w:rsidRDefault="00864954">
                  <w:pPr>
                    <w:adjustRightInd w:val="0"/>
                    <w:snapToGrid w:val="0"/>
                    <w:spacing w:line="200" w:lineRule="exact"/>
                    <w:jc w:val="center"/>
                    <w:rPr>
                      <w:sz w:val="11"/>
                      <w:szCs w:val="11"/>
                    </w:rPr>
                  </w:pPr>
                  <w:r>
                    <w:rPr>
                      <w:rFonts w:hint="eastAsia"/>
                      <w:sz w:val="11"/>
                      <w:szCs w:val="11"/>
                    </w:rPr>
                    <w:t>经质监部门负责人批准结案归档</w:t>
                  </w:r>
                  <w:r>
                    <w:rPr>
                      <w:sz w:val="11"/>
                      <w:szCs w:val="11"/>
                    </w:rPr>
                    <w:t xml:space="preserve">       </w:t>
                  </w:r>
                </w:p>
              </w:txbxContent>
            </v:textbox>
          </v:shape>
        </w:pict>
      </w:r>
      <w:r>
        <w:rPr>
          <w:noProof/>
        </w:rPr>
        <w:pict>
          <v:shape id="_x0000_s1043" type="#_x0000_t202" style="position:absolute;left:0;text-align:left;margin-left:499.3pt;margin-top:5.15pt;width:48.05pt;height:20.65pt;z-index:251645440" strokecolor="#5b9bd5" strokeweight=".5pt">
            <v:textbox style="mso-next-textbox:#_x0000_s1043">
              <w:txbxContent>
                <w:p w:rsidR="00864954" w:rsidRDefault="00864954">
                  <w:pPr>
                    <w:rPr>
                      <w:sz w:val="11"/>
                      <w:szCs w:val="11"/>
                    </w:rPr>
                  </w:pPr>
                  <w:r>
                    <w:rPr>
                      <w:rFonts w:hint="eastAsia"/>
                      <w:sz w:val="11"/>
                      <w:szCs w:val="11"/>
                    </w:rPr>
                    <w:t>案件移送</w:t>
                  </w:r>
                </w:p>
              </w:txbxContent>
            </v:textbox>
          </v:shape>
        </w:pict>
      </w:r>
      <w:r>
        <w:rPr>
          <w:noProof/>
        </w:rPr>
        <w:pict>
          <v:shape id="_x0000_s1044" type="#_x0000_t202" style="position:absolute;left:0;text-align:left;margin-left:375.25pt;margin-top:62.9pt;width:127.4pt;height:17.45pt;rotation:90;z-index:251641344" strokecolor="#5b9bd5" strokeweight=".5pt">
            <v:textbox style="mso-next-textbox:#_x0000_s1044">
              <w:txbxContent>
                <w:p w:rsidR="00864954" w:rsidRDefault="00864954">
                  <w:pPr>
                    <w:adjustRightInd w:val="0"/>
                    <w:snapToGrid w:val="0"/>
                    <w:spacing w:line="200" w:lineRule="exact"/>
                    <w:jc w:val="center"/>
                    <w:rPr>
                      <w:sz w:val="11"/>
                      <w:szCs w:val="11"/>
                    </w:rPr>
                  </w:pPr>
                  <w:r>
                    <w:rPr>
                      <w:rFonts w:hint="eastAsia"/>
                      <w:sz w:val="11"/>
                      <w:szCs w:val="11"/>
                    </w:rPr>
                    <w:t>质监部门主要负责人批准</w:t>
                  </w:r>
                </w:p>
              </w:txbxContent>
            </v:textbox>
          </v:shape>
        </w:pict>
      </w:r>
      <w:r>
        <w:rPr>
          <w:noProof/>
        </w:rPr>
        <w:pict>
          <v:shape id="_x0000_s1045" type="#_x0000_t202" style="position:absolute;left:0;text-align:left;margin-left:286.65pt;margin-top:7.05pt;width:97.4pt;height:24.7pt;z-index:251661824" strokecolor="#5b9bd5" strokeweight=".5pt">
            <v:textbox style="mso-next-textbox:#_x0000_s1045">
              <w:txbxContent>
                <w:p w:rsidR="00864954" w:rsidRDefault="00864954">
                  <w:pPr>
                    <w:spacing w:line="180" w:lineRule="exact"/>
                    <w:rPr>
                      <w:sz w:val="11"/>
                      <w:szCs w:val="11"/>
                    </w:rPr>
                  </w:pPr>
                  <w:r>
                    <w:rPr>
                      <w:rFonts w:hint="eastAsia"/>
                      <w:sz w:val="11"/>
                      <w:szCs w:val="11"/>
                    </w:rPr>
                    <w:t>不属本部门管辖或依法追究刑事责任</w:t>
                  </w:r>
                </w:p>
                <w:p w:rsidR="00864954" w:rsidRDefault="00864954">
                  <w:pPr>
                    <w:rPr>
                      <w:sz w:val="15"/>
                      <w:szCs w:val="15"/>
                    </w:rPr>
                  </w:pPr>
                </w:p>
              </w:txbxContent>
            </v:textbox>
          </v:shape>
        </w:pict>
      </w:r>
      <w:r>
        <w:rPr>
          <w:noProof/>
        </w:rPr>
        <w:pict>
          <v:shape id="_x0000_s1046" type="#_x0000_t202" style="position:absolute;left:0;text-align:left;margin-left:95.35pt;margin-top:14.1pt;width:67.6pt;height:21.35pt;z-index:251652608" strokecolor="#5b9bd5" strokeweight=".5pt">
            <v:textbox style="mso-next-textbox:#_x0000_s1046">
              <w:txbxContent>
                <w:p w:rsidR="00864954" w:rsidRDefault="00864954">
                  <w:pPr>
                    <w:rPr>
                      <w:sz w:val="11"/>
                      <w:szCs w:val="11"/>
                    </w:rPr>
                  </w:pPr>
                  <w:r>
                    <w:rPr>
                      <w:rFonts w:hint="eastAsia"/>
                      <w:sz w:val="11"/>
                      <w:szCs w:val="11"/>
                    </w:rPr>
                    <w:t>质监部门负责人批准</w:t>
                  </w:r>
                </w:p>
              </w:txbxContent>
            </v:textbox>
          </v:shape>
        </w:pict>
      </w:r>
      <w:r>
        <w:rPr>
          <w:rFonts w:ascii="仿宋" w:eastAsia="仿宋" w:hAnsi="仿宋" w:cs="仿宋"/>
          <w:szCs w:val="21"/>
        </w:rPr>
        <w:t xml:space="preserve">                     </w:t>
      </w:r>
    </w:p>
    <w:p w:rsidR="00864954" w:rsidRDefault="00864954">
      <w:pPr>
        <w:rPr>
          <w:rFonts w:ascii="仿宋" w:eastAsia="仿宋" w:hAnsi="仿宋" w:cs="仿宋"/>
          <w:szCs w:val="21"/>
        </w:rPr>
      </w:pPr>
      <w:r>
        <w:rPr>
          <w:noProof/>
        </w:rPr>
        <w:pict>
          <v:shape id="_x0000_s1047" type="#_x0000_t32" style="position:absolute;left:0;text-align:left;margin-left:548.8pt;margin-top:.8pt;width:224.25pt;height:0;z-index:251696640" strokecolor="#5b9bd5" strokeweight="1.5pt">
            <v:stroke endarrow="open" joinstyle="miter"/>
          </v:shape>
        </w:pict>
      </w:r>
      <w:r>
        <w:rPr>
          <w:noProof/>
        </w:rPr>
        <w:pict>
          <v:shape id="_x0000_s1048" type="#_x0000_t32" style="position:absolute;left:0;text-align:left;margin-left:448.85pt;margin-top:2.8pt;width:46.3pt;height:.45pt;flip:y;z-index:-251687424" strokecolor="#5b9bd5" strokeweight="1.5pt">
            <v:stroke endarrow="open" joinstyle="miter"/>
          </v:shape>
        </w:pict>
      </w:r>
      <w:r>
        <w:rPr>
          <w:noProof/>
        </w:rPr>
        <w:pict>
          <v:shape id="_x0000_s1049" type="#_x0000_t32" style="position:absolute;left:0;text-align:left;margin-left:382.5pt;margin-top:2.15pt;width:45.4pt;height:.65pt;flip:y;z-index:-251685376" strokecolor="#5b9bd5" strokeweight="1.5pt">
            <v:stroke endarrow="open" joinstyle="miter"/>
          </v:shape>
        </w:pict>
      </w:r>
      <w:r>
        <w:rPr>
          <w:noProof/>
        </w:rPr>
        <w:pict>
          <v:shape id="_x0000_s1050" type="#_x0000_t32" style="position:absolute;left:0;text-align:left;margin-left:275.1pt;margin-top:1.45pt;width:12.05pt;height:.8pt;z-index:251672064" strokecolor="#5b9bd5" strokeweight="1.5pt">
            <v:stroke endarrow="open" joinstyle="miter"/>
          </v:shape>
        </w:pict>
      </w:r>
      <w:r>
        <w:rPr>
          <w:noProof/>
        </w:rPr>
        <w:pict>
          <v:line id="_x0000_s1051" style="position:absolute;left:0;text-align:left;z-index:251659776" from="275.85pt,.4pt" to="275.85pt,149.85pt" strokecolor="#5b9bd5" strokeweight="1.5pt">
            <v:stroke joinstyle="miter"/>
          </v:line>
        </w:pict>
      </w:r>
    </w:p>
    <w:p w:rsidR="00864954" w:rsidRDefault="00864954">
      <w:pPr>
        <w:rPr>
          <w:sz w:val="30"/>
        </w:rPr>
      </w:pPr>
      <w:r>
        <w:rPr>
          <w:noProof/>
        </w:rPr>
        <w:pict>
          <v:shape id="_x0000_s1052" type="#_x0000_t32" style="position:absolute;left:0;text-align:left;margin-left:616.95pt;margin-top:29pt;width:157.6pt;height:1pt;flip:y;z-index:-251714048" strokecolor="#5b9bd5" strokeweight="1.5pt">
            <v:stroke endarrow="open" joinstyle="miter"/>
          </v:shape>
        </w:pict>
      </w:r>
      <w:r>
        <w:rPr>
          <w:noProof/>
        </w:rPr>
        <w:pict>
          <v:shape id="_x0000_s1053" type="#_x0000_t32" style="position:absolute;left:0;text-align:left;margin-left:547.15pt;margin-top:27.6pt;width:51.15pt;height:0;z-index:251701760" strokecolor="#5b9bd5" strokeweight="1.5pt">
            <v:stroke endarrow="open" joinstyle="miter"/>
          </v:shape>
        </w:pict>
      </w:r>
      <w:r>
        <w:rPr>
          <w:noProof/>
        </w:rPr>
        <w:pict>
          <v:shape id="_x0000_s1054" type="#_x0000_t202" style="position:absolute;left:0;text-align:left;margin-left:499.1pt;margin-top:17.25pt;width:48.05pt;height:20.65pt;z-index:251694592" strokecolor="#5b9bd5" strokeweight=".5pt">
            <v:textbox style="mso-next-textbox:#_x0000_s1054">
              <w:txbxContent>
                <w:p w:rsidR="00864954" w:rsidRDefault="00864954">
                  <w:pPr>
                    <w:rPr>
                      <w:sz w:val="11"/>
                      <w:szCs w:val="11"/>
                    </w:rPr>
                  </w:pPr>
                  <w:r>
                    <w:rPr>
                      <w:rFonts w:hint="eastAsia"/>
                      <w:sz w:val="11"/>
                      <w:szCs w:val="11"/>
                    </w:rPr>
                    <w:t>不予行政处罚</w:t>
                  </w:r>
                </w:p>
              </w:txbxContent>
            </v:textbox>
          </v:shape>
        </w:pict>
      </w:r>
      <w:r>
        <w:rPr>
          <w:noProof/>
        </w:rPr>
        <w:pict>
          <v:shape id="_x0000_s1055" type="#_x0000_t202" style="position:absolute;left:0;text-align:left;margin-left:537.7pt;margin-top:72.65pt;width:136.3pt;height:18.15pt;rotation:90;z-index:251691520" strokecolor="#5b9bd5" strokeweight=".5pt">
            <v:textbox style="mso-next-textbox:#_x0000_s1055">
              <w:txbxContent>
                <w:p w:rsidR="00864954" w:rsidRDefault="00864954">
                  <w:pPr>
                    <w:adjustRightInd w:val="0"/>
                    <w:snapToGrid w:val="0"/>
                    <w:spacing w:line="200" w:lineRule="exact"/>
                    <w:jc w:val="center"/>
                    <w:rPr>
                      <w:sz w:val="11"/>
                      <w:szCs w:val="11"/>
                    </w:rPr>
                  </w:pPr>
                  <w:r>
                    <w:rPr>
                      <w:rFonts w:hint="eastAsia"/>
                      <w:sz w:val="11"/>
                      <w:szCs w:val="11"/>
                    </w:rPr>
                    <w:t>决定书</w:t>
                  </w:r>
                  <w:r>
                    <w:rPr>
                      <w:sz w:val="11"/>
                      <w:szCs w:val="11"/>
                    </w:rPr>
                    <w:t>7</w:t>
                  </w:r>
                  <w:r>
                    <w:rPr>
                      <w:rFonts w:hint="eastAsia"/>
                      <w:sz w:val="11"/>
                      <w:szCs w:val="11"/>
                    </w:rPr>
                    <w:t>日内送达当事人</w:t>
                  </w:r>
                </w:p>
              </w:txbxContent>
            </v:textbox>
          </v:shape>
        </w:pict>
      </w:r>
      <w:r>
        <w:rPr>
          <w:noProof/>
        </w:rPr>
        <w:pict>
          <v:shape id="_x0000_s1056" type="#_x0000_t32" style="position:absolute;left:0;text-align:left;margin-left:451.35pt;margin-top:27.6pt;width:47.75pt;height:1.25pt;flip:y;z-index:-251649536" strokecolor="#5b9bd5" strokeweight="1.5pt">
            <v:stroke endarrow="open" joinstyle="miter"/>
          </v:shape>
        </w:pict>
      </w:r>
      <w:r>
        <w:rPr>
          <w:noProof/>
        </w:rPr>
        <w:pict>
          <v:shape id="_x0000_s1057" type="#_x0000_t32" style="position:absolute;left:0;text-align:left;margin-left:383.15pt;margin-top:30.65pt;width:43.4pt;height:.7pt;z-index:-251681280" strokecolor="#5b9bd5" strokeweight="1.5pt">
            <v:stroke endarrow="open" joinstyle="miter"/>
          </v:shape>
        </w:pict>
      </w:r>
      <w:r>
        <w:rPr>
          <w:noProof/>
        </w:rPr>
        <w:pict>
          <v:shape id="_x0000_s1058" type="#_x0000_t32" style="position:absolute;left:0;text-align:left;margin-left:428.9pt;margin-top:136.5pt;width:39.85pt;height:.35pt;flip:y;z-index:251678208" strokecolor="#5b9bd5" strokeweight="1.5pt">
            <v:stroke endarrow="open" joinstyle="miter"/>
          </v:shape>
        </w:pict>
      </w:r>
      <w:r>
        <w:rPr>
          <w:noProof/>
        </w:rPr>
        <w:pict>
          <v:shape id="_x0000_s1059" type="#_x0000_t202" style="position:absolute;left:0;text-align:left;margin-left:380.65pt;margin-top:124.95pt;width:48.05pt;height:20.65pt;z-index:251676160" strokecolor="#5b9bd5" strokeweight=".5pt">
            <v:textbox style="mso-next-textbox:#_x0000_s1059">
              <w:txbxContent>
                <w:p w:rsidR="00864954" w:rsidRDefault="00864954">
                  <w:pPr>
                    <w:rPr>
                      <w:sz w:val="11"/>
                      <w:szCs w:val="11"/>
                    </w:rPr>
                  </w:pPr>
                  <w:r>
                    <w:rPr>
                      <w:rFonts w:hint="eastAsia"/>
                      <w:sz w:val="11"/>
                      <w:szCs w:val="11"/>
                    </w:rPr>
                    <w:t>行政处罚告知</w:t>
                  </w:r>
                  <w:r>
                    <w:rPr>
                      <w:sz w:val="11"/>
                      <w:szCs w:val="11"/>
                    </w:rPr>
                    <w:t xml:space="preserve">   </w:t>
                  </w:r>
                </w:p>
              </w:txbxContent>
            </v:textbox>
          </v:shape>
        </w:pict>
      </w:r>
      <w:r>
        <w:rPr>
          <w:noProof/>
        </w:rPr>
        <w:pict>
          <v:shape id="_x0000_s1060" type="#_x0000_t32" style="position:absolute;left:0;text-align:left;margin-left:364.75pt;margin-top:136.8pt;width:16.2pt;height:0;z-index:251675136" strokecolor="#5b9bd5" strokeweight="1.5pt">
            <v:stroke endarrow="open" joinstyle="miter"/>
          </v:shape>
        </w:pict>
      </w:r>
      <w:r>
        <w:rPr>
          <w:noProof/>
        </w:rPr>
        <w:pict>
          <v:shape id="_x0000_s1061" type="#_x0000_t202" style="position:absolute;left:0;text-align:left;margin-left:287.8pt;margin-top:125.05pt;width:77.8pt;height:18.35pt;z-index:251674112" strokecolor="#5b9bd5" strokeweight=".5pt">
            <v:textbox style="mso-next-textbox:#_x0000_s1061">
              <w:txbxContent>
                <w:p w:rsidR="00864954" w:rsidRDefault="00864954">
                  <w:pPr>
                    <w:rPr>
                      <w:sz w:val="11"/>
                      <w:szCs w:val="11"/>
                    </w:rPr>
                  </w:pPr>
                  <w:r>
                    <w:rPr>
                      <w:rFonts w:hint="eastAsia"/>
                      <w:sz w:val="11"/>
                      <w:szCs w:val="11"/>
                    </w:rPr>
                    <w:t>违法事实清楚、证据确凿</w:t>
                  </w:r>
                </w:p>
              </w:txbxContent>
            </v:textbox>
          </v:shape>
        </w:pict>
      </w:r>
      <w:r>
        <w:rPr>
          <w:noProof/>
        </w:rPr>
        <w:pict>
          <v:shape id="_x0000_s1062" type="#_x0000_t202" style="position:absolute;left:0;text-align:left;margin-left:289.9pt;margin-top:84.3pt;width:92.6pt;height:19.25pt;z-index:251663872" strokecolor="#5b9bd5" strokeweight=".5pt">
            <v:textbox style="mso-next-textbox:#_x0000_s1062">
              <w:txbxContent>
                <w:p w:rsidR="00864954" w:rsidRDefault="00864954">
                  <w:pPr>
                    <w:rPr>
                      <w:sz w:val="11"/>
                      <w:szCs w:val="11"/>
                    </w:rPr>
                  </w:pPr>
                  <w:r>
                    <w:rPr>
                      <w:rFonts w:hint="eastAsia"/>
                      <w:sz w:val="11"/>
                      <w:szCs w:val="11"/>
                    </w:rPr>
                    <w:t>违法行为需其他部门进一步处理</w:t>
                  </w:r>
                </w:p>
              </w:txbxContent>
            </v:textbox>
          </v:shape>
        </w:pict>
      </w:r>
      <w:r>
        <w:rPr>
          <w:noProof/>
        </w:rPr>
        <w:pict>
          <v:shape id="_x0000_s1063" type="#_x0000_t202" style="position:absolute;left:0;text-align:left;margin-left:287.75pt;margin-top:8.25pt;width:93.95pt;height:55.85pt;z-index:251662848" strokecolor="#5b9bd5" strokeweight=".5pt">
            <v:textbox style="mso-next-textbox:#_x0000_s1063">
              <w:txbxContent>
                <w:p w:rsidR="00864954" w:rsidRDefault="00864954">
                  <w:pPr>
                    <w:spacing w:line="240" w:lineRule="exact"/>
                    <w:rPr>
                      <w:sz w:val="11"/>
                      <w:szCs w:val="11"/>
                    </w:rPr>
                  </w:pPr>
                  <w:r>
                    <w:rPr>
                      <w:rFonts w:hint="eastAsia"/>
                      <w:sz w:val="11"/>
                      <w:szCs w:val="11"/>
                    </w:rPr>
                    <w:t>违法事实不成立；违法行为已过追诉时效；违法主体依法不予行政处罚；违法行为轻微并及时纠正，没有造成危害后果</w:t>
                  </w:r>
                </w:p>
              </w:txbxContent>
            </v:textbox>
          </v:shape>
        </w:pict>
      </w:r>
      <w:r>
        <w:rPr>
          <w:noProof/>
        </w:rPr>
        <w:pict>
          <v:shape id="_x0000_s1064" type="#_x0000_t32" style="position:absolute;left:0;text-align:left;margin-left:275.8pt;margin-top:132.55pt;width:12.05pt;height:.8pt;z-index:251670016" strokecolor="#5b9bd5" strokeweight="1.5pt">
            <v:stroke endarrow="open" joinstyle="miter"/>
          </v:shape>
        </w:pict>
      </w:r>
      <w:r>
        <w:rPr>
          <w:noProof/>
        </w:rPr>
        <w:pict>
          <v:shape id="_x0000_s1065" type="#_x0000_t32" style="position:absolute;left:0;text-align:left;margin-left:275.8pt;margin-top:39.5pt;width:12.05pt;height:.8pt;z-index:251671040" strokecolor="#5b9bd5" strokeweight="1.5pt">
            <v:stroke endarrow="open" joinstyle="miter"/>
          </v:shape>
        </w:pict>
      </w:r>
      <w:r>
        <w:rPr>
          <w:noProof/>
        </w:rPr>
        <w:pict>
          <v:shape id="_x0000_s1066" type="#_x0000_t32" style="position:absolute;left:0;text-align:left;margin-left:275.35pt;margin-top:94.75pt;width:12.05pt;height:.8pt;z-index:251660800" strokecolor="#5b9bd5" strokeweight="1.5pt">
            <v:stroke endarrow="open" joinstyle="miter"/>
          </v:shape>
        </w:pict>
      </w:r>
      <w:r>
        <w:rPr>
          <w:noProof/>
        </w:rPr>
        <w:pict>
          <v:shape id="_x0000_s1067" type="#_x0000_t32" style="position:absolute;left:0;text-align:left;margin-left:257.95pt;margin-top:63.8pt;width:17.25pt;height:.5pt;z-index:251658752" strokecolor="#5b9bd5" strokeweight="1.5pt">
            <v:stroke joinstyle="miter"/>
          </v:shape>
        </w:pict>
      </w:r>
      <w:r>
        <w:rPr>
          <w:noProof/>
        </w:rPr>
        <w:pict>
          <v:shape id="_x0000_s1068" type="#_x0000_t202" style="position:absolute;left:0;text-align:left;margin-left:211.55pt;margin-top:46.5pt;width:70.3pt;height:22.25pt;rotation:90;z-index:251657728" strokecolor="#5b9bd5" strokeweight=".5pt">
            <v:textbox style="mso-next-textbox:#_x0000_s1068">
              <w:txbxContent>
                <w:p w:rsidR="00864954" w:rsidRDefault="00864954">
                  <w:pPr>
                    <w:adjustRightInd w:val="0"/>
                    <w:snapToGrid w:val="0"/>
                    <w:spacing w:line="220" w:lineRule="exact"/>
                    <w:rPr>
                      <w:sz w:val="11"/>
                      <w:szCs w:val="11"/>
                    </w:rPr>
                  </w:pPr>
                  <w:r>
                    <w:rPr>
                      <w:rFonts w:hint="eastAsia"/>
                      <w:sz w:val="11"/>
                      <w:szCs w:val="11"/>
                    </w:rPr>
                    <w:t>案审会集体审理</w:t>
                  </w:r>
                </w:p>
              </w:txbxContent>
            </v:textbox>
          </v:shape>
        </w:pict>
      </w:r>
      <w:r>
        <w:rPr>
          <w:noProof/>
        </w:rPr>
        <w:pict>
          <v:shape id="_x0000_s1069" type="#_x0000_t32" style="position:absolute;left:0;text-align:left;margin-left:219.95pt;margin-top:64.7pt;width:16.2pt;height:0;z-index:251668992" strokecolor="#5b9bd5" strokeweight="1.5pt">
            <v:stroke endarrow="open" joinstyle="miter"/>
          </v:shape>
        </w:pict>
      </w:r>
      <w:r>
        <w:rPr>
          <w:noProof/>
        </w:rPr>
        <w:pict>
          <v:shape id="_x0000_s1070" type="#_x0000_t202" style="position:absolute;left:0;text-align:left;margin-left:166.6pt;margin-top:49.1pt;width:83.15pt;height:19.5pt;rotation:90;z-index:251656704" strokecolor="#5b9bd5" strokeweight=".5pt">
            <v:textbox style="mso-next-textbox:#_x0000_s1070">
              <w:txbxContent>
                <w:p w:rsidR="00864954" w:rsidRDefault="00864954">
                  <w:pPr>
                    <w:adjustRightInd w:val="0"/>
                    <w:snapToGrid w:val="0"/>
                    <w:spacing w:line="220" w:lineRule="exact"/>
                    <w:rPr>
                      <w:sz w:val="11"/>
                      <w:szCs w:val="11"/>
                    </w:rPr>
                  </w:pPr>
                  <w:r>
                    <w:rPr>
                      <w:rFonts w:hint="eastAsia"/>
                      <w:sz w:val="11"/>
                      <w:szCs w:val="11"/>
                    </w:rPr>
                    <w:t>案审办</w:t>
                  </w:r>
                  <w:r>
                    <w:rPr>
                      <w:sz w:val="11"/>
                      <w:szCs w:val="11"/>
                    </w:rPr>
                    <w:t>5</w:t>
                  </w:r>
                  <w:r>
                    <w:rPr>
                      <w:rFonts w:hint="eastAsia"/>
                      <w:sz w:val="11"/>
                      <w:szCs w:val="11"/>
                    </w:rPr>
                    <w:t>日内完成初审</w:t>
                  </w:r>
                </w:p>
              </w:txbxContent>
            </v:textbox>
          </v:shape>
        </w:pict>
      </w:r>
      <w:r>
        <w:rPr>
          <w:noProof/>
        </w:rPr>
        <w:pict>
          <v:shape id="_x0000_s1071" type="#_x0000_t32" style="position:absolute;left:0;text-align:left;margin-left:180.8pt;margin-top:65.6pt;width:16.2pt;height:0;z-index:251667968" strokecolor="#5b9bd5" strokeweight="1.5pt">
            <v:stroke endarrow="open" joinstyle="miter"/>
          </v:shape>
        </w:pict>
      </w:r>
      <w:r>
        <w:rPr>
          <w:noProof/>
        </w:rPr>
        <w:pict>
          <v:shape id="_x0000_s1072" type="#_x0000_t202" style="position:absolute;left:0;text-align:left;margin-left:122.95pt;margin-top:52.95pt;width:91.95pt;height:22.15pt;rotation:90;z-index:251650560" strokecolor="#5b9bd5" strokeweight=".5pt">
            <v:textbox style="mso-next-textbox:#_x0000_s1072">
              <w:txbxContent>
                <w:p w:rsidR="00864954" w:rsidRDefault="00864954">
                  <w:pPr>
                    <w:adjustRightInd w:val="0"/>
                    <w:snapToGrid w:val="0"/>
                    <w:spacing w:line="220" w:lineRule="exact"/>
                    <w:rPr>
                      <w:sz w:val="11"/>
                      <w:szCs w:val="11"/>
                    </w:rPr>
                  </w:pPr>
                  <w:r>
                    <w:rPr>
                      <w:rFonts w:hint="eastAsia"/>
                      <w:sz w:val="11"/>
                      <w:szCs w:val="11"/>
                    </w:rPr>
                    <w:t>调查终结后，撰写调查终结报告</w:t>
                  </w:r>
                </w:p>
              </w:txbxContent>
            </v:textbox>
          </v:shape>
        </w:pict>
      </w:r>
      <w:r>
        <w:rPr>
          <w:noProof/>
        </w:rPr>
        <w:pict>
          <v:shape id="_x0000_s1073" type="#_x0000_t32" style="position:absolute;left:0;text-align:left;margin-left:138.25pt;margin-top:63.8pt;width:16.2pt;height:0;z-index:251665920" strokecolor="#5b9bd5" strokeweight="1.5pt">
            <v:stroke endarrow="open" joinstyle="miter"/>
          </v:shape>
        </w:pict>
      </w:r>
      <w:r>
        <w:rPr>
          <w:noProof/>
        </w:rPr>
        <w:pict>
          <v:shape id="_x0000_s1074" type="#_x0000_t202" style="position:absolute;left:0;text-align:left;margin-left:90.35pt;margin-top:61.1pt;width:74.3pt;height:18.15pt;rotation:90;z-index:251649536" strokecolor="#5b9bd5" strokeweight=".5pt">
            <v:textbox style="mso-next-textbox:#_x0000_s1074">
              <w:txbxContent>
                <w:p w:rsidR="00864954" w:rsidRDefault="00864954">
                  <w:pPr>
                    <w:adjustRightInd w:val="0"/>
                    <w:snapToGrid w:val="0"/>
                    <w:spacing w:line="240" w:lineRule="exact"/>
                    <w:jc w:val="center"/>
                    <w:rPr>
                      <w:sz w:val="11"/>
                      <w:szCs w:val="11"/>
                    </w:rPr>
                  </w:pPr>
                  <w:r>
                    <w:rPr>
                      <w:rFonts w:hint="eastAsia"/>
                      <w:sz w:val="11"/>
                      <w:szCs w:val="11"/>
                    </w:rPr>
                    <w:t>调查取证</w:t>
                  </w:r>
                </w:p>
              </w:txbxContent>
            </v:textbox>
          </v:shape>
        </w:pict>
      </w:r>
      <w:r>
        <w:rPr>
          <w:noProof/>
        </w:rPr>
        <w:pict>
          <v:shape id="_x0000_s1075" type="#_x0000_t32" style="position:absolute;left:0;text-align:left;margin-left:101.15pt;margin-top:64.05pt;width:16.2pt;height:0;z-index:251664896" strokecolor="#5b9bd5" strokeweight="1.5pt">
            <v:stroke endarrow="open" joinstyle="miter"/>
          </v:shape>
        </w:pict>
      </w:r>
      <w:r>
        <w:rPr>
          <w:noProof/>
        </w:rPr>
        <w:pict>
          <v:shape id="_x0000_s1076" type="#_x0000_t202" style="position:absolute;left:0;text-align:left;margin-left:39.8pt;margin-top:48.5pt;width:91.9pt;height:29.65pt;rotation:90;z-index:251647488" strokecolor="#5b9bd5" strokeweight=".5pt">
            <v:textbox style="mso-next-textbox:#_x0000_s1076">
              <w:txbxContent>
                <w:p w:rsidR="00864954" w:rsidRDefault="00864954">
                  <w:pPr>
                    <w:adjustRightInd w:val="0"/>
                    <w:snapToGrid w:val="0"/>
                    <w:spacing w:line="220" w:lineRule="exact"/>
                    <w:rPr>
                      <w:sz w:val="11"/>
                      <w:szCs w:val="11"/>
                    </w:rPr>
                  </w:pPr>
                  <w:r>
                    <w:rPr>
                      <w:sz w:val="11"/>
                      <w:szCs w:val="11"/>
                    </w:rPr>
                    <w:t>15</w:t>
                  </w:r>
                  <w:r>
                    <w:rPr>
                      <w:rFonts w:hint="eastAsia"/>
                      <w:sz w:val="11"/>
                      <w:szCs w:val="11"/>
                    </w:rPr>
                    <w:t>日内组织核查并报质监部门负责人批准立案</w:t>
                  </w:r>
                </w:p>
              </w:txbxContent>
            </v:textbox>
          </v:shape>
        </w:pict>
      </w:r>
      <w:r>
        <w:rPr>
          <w:noProof/>
        </w:rPr>
        <w:pict>
          <v:shape id="_x0000_s1077" type="#_x0000_t202" style="position:absolute;left:0;text-align:left;margin-left:-.55pt;margin-top:51.8pt;width:81.15pt;height:26.25pt;rotation:90;z-index:251646464" strokecolor="#5b9bd5" strokeweight=".5pt">
            <v:textbox style="mso-next-textbox:#_x0000_s1077">
              <w:txbxContent>
                <w:p w:rsidR="00864954" w:rsidRDefault="00864954">
                  <w:pPr>
                    <w:adjustRightInd w:val="0"/>
                    <w:snapToGrid w:val="0"/>
                    <w:spacing w:line="220" w:lineRule="exact"/>
                    <w:rPr>
                      <w:sz w:val="11"/>
                      <w:szCs w:val="11"/>
                    </w:rPr>
                  </w:pPr>
                  <w:r>
                    <w:rPr>
                      <w:rFonts w:hint="eastAsia"/>
                      <w:sz w:val="11"/>
                      <w:szCs w:val="11"/>
                    </w:rPr>
                    <w:t>监督检查、举报投诉、移送、上级交办</w:t>
                  </w:r>
                </w:p>
              </w:txbxContent>
            </v:textbox>
          </v:shape>
        </w:pict>
      </w:r>
      <w:r>
        <w:rPr>
          <w:noProof/>
        </w:rPr>
        <w:pict>
          <v:shape id="_x0000_s1078" type="#_x0000_t32" style="position:absolute;left:0;text-align:left;margin-left:53.15pt;margin-top:64.95pt;width:16.2pt;height:0;z-index:251648512" strokecolor="#5b9bd5" strokeweight="1.5pt">
            <v:stroke endarrow="open" joinstyle="miter"/>
          </v:shape>
        </w:pict>
      </w:r>
      <w:r>
        <w:rPr>
          <w:noProof/>
        </w:rPr>
        <w:pict>
          <v:shape id="_x0000_s1079" type="#_x0000_t32" style="position:absolute;left:0;text-align:left;margin-left:127.5pt;margin-top:8.65pt;width:0;height:24.4pt;z-index:251651584" strokecolor="#41719c" strokeweight="1pt">
            <v:stroke dashstyle="1 1" startarrow="block" joinstyle="miter"/>
          </v:shape>
        </w:pict>
      </w:r>
      <w:r>
        <w:rPr>
          <w:rFonts w:ascii="仿宋" w:eastAsia="仿宋" w:hAnsi="仿宋" w:cs="仿宋"/>
          <w:szCs w:val="21"/>
        </w:rPr>
        <w:t xml:space="preserve">    </w:t>
      </w:r>
      <w:r>
        <w:rPr>
          <w:noProof/>
        </w:rPr>
        <w:pict>
          <v:shape id="文本框 29" o:spid="_x0000_s1080" type="#_x0000_t202" style="position:absolute;left:0;text-align:left;margin-left:338.45pt;margin-top:529.95pt;width:105.7pt;height:34.4pt;z-index:251673088;mso-position-horizontal-relative:text;mso-position-vertical-relative:text" strokecolor="#5b9bd5" strokeweight=".5pt">
            <v:textbox style="mso-next-textbox:#文本框 29">
              <w:txbxContent>
                <w:p w:rsidR="00864954" w:rsidRDefault="00864954">
                  <w:pPr>
                    <w:spacing w:line="240" w:lineRule="exact"/>
                    <w:rPr>
                      <w:sz w:val="15"/>
                      <w:szCs w:val="15"/>
                    </w:rPr>
                  </w:pPr>
                  <w:r>
                    <w:rPr>
                      <w:rFonts w:hint="eastAsia"/>
                      <w:sz w:val="15"/>
                      <w:szCs w:val="15"/>
                    </w:rPr>
                    <w:t>事实清楚，证据确凿的，依法给予行政处罚</w:t>
                  </w:r>
                </w:p>
              </w:txbxContent>
            </v:textbox>
          </v:shape>
        </w:pict>
      </w:r>
    </w:p>
    <w:p w:rsidR="00864954" w:rsidRDefault="00864954">
      <w:pPr>
        <w:rPr>
          <w:sz w:val="30"/>
        </w:rPr>
      </w:pPr>
      <w:r>
        <w:rPr>
          <w:noProof/>
        </w:rPr>
        <w:pict>
          <v:shape id="_x0000_s1081" type="#_x0000_t202" style="position:absolute;left:0;text-align:left;margin-left:687.9pt;margin-top:4.55pt;width:48.05pt;height:20.65pt;z-index:251706880" strokecolor="#5b9bd5" strokeweight=".5pt">
            <v:textbox style="mso-next-textbox:#_x0000_s1081">
              <w:txbxContent>
                <w:p w:rsidR="00864954" w:rsidRDefault="00864954">
                  <w:pPr>
                    <w:rPr>
                      <w:sz w:val="11"/>
                      <w:szCs w:val="11"/>
                    </w:rPr>
                  </w:pPr>
                  <w:r>
                    <w:rPr>
                      <w:rFonts w:hint="eastAsia"/>
                      <w:sz w:val="11"/>
                      <w:szCs w:val="11"/>
                    </w:rPr>
                    <w:t>行政复议</w:t>
                  </w:r>
                </w:p>
              </w:txbxContent>
            </v:textbox>
          </v:shape>
        </w:pict>
      </w:r>
      <w:r>
        <w:rPr>
          <w:noProof/>
        </w:rPr>
        <w:pict>
          <v:line id="_x0000_s1082" style="position:absolute;left:0;text-align:left;z-index:251677184" from="645.4pt,17.35pt" to="684.65pt,17.35pt" strokecolor="#5b9bd5" strokeweight="1.25pt">
            <v:stroke dashstyle="1 1" endarrow="block" joinstyle="miter"/>
          </v:line>
        </w:pict>
      </w:r>
    </w:p>
    <w:p w:rsidR="00864954" w:rsidRDefault="00864954">
      <w:pPr>
        <w:tabs>
          <w:tab w:val="left" w:pos="15969"/>
        </w:tabs>
        <w:rPr>
          <w:sz w:val="30"/>
        </w:rPr>
      </w:pPr>
      <w:r>
        <w:rPr>
          <w:noProof/>
        </w:rPr>
        <w:pict>
          <v:shape id="_x0000_s1083" type="#_x0000_t32" style="position:absolute;left:0;text-align:left;margin-left:790.75pt;margin-top:13.9pt;width:21.45pt;height:.35pt;z-index:251720192" strokecolor="#5b9bd5" strokeweight="1.5pt">
            <v:stroke endarrow="open" joinstyle="miter"/>
          </v:shape>
        </w:pict>
      </w:r>
      <w:r>
        <w:rPr>
          <w:noProof/>
        </w:rPr>
        <w:pict>
          <v:shape id="_x0000_s1084" type="#_x0000_t202" style="position:absolute;left:0;text-align:left;margin-left:687.15pt;margin-top:9.6pt;width:48.05pt;height:20.65pt;z-index:251707904" strokecolor="#5b9bd5" strokeweight=".5pt">
            <v:textbox style="mso-next-textbox:#_x0000_s1084">
              <w:txbxContent>
                <w:p w:rsidR="00864954" w:rsidRDefault="00864954">
                  <w:pPr>
                    <w:rPr>
                      <w:sz w:val="11"/>
                      <w:szCs w:val="11"/>
                    </w:rPr>
                  </w:pPr>
                  <w:r>
                    <w:rPr>
                      <w:rFonts w:hint="eastAsia"/>
                      <w:sz w:val="11"/>
                      <w:szCs w:val="11"/>
                    </w:rPr>
                    <w:t>行政诉讼</w:t>
                  </w:r>
                </w:p>
              </w:txbxContent>
            </v:textbox>
          </v:shape>
        </w:pict>
      </w:r>
      <w:r>
        <w:rPr>
          <w:noProof/>
        </w:rPr>
        <w:pict>
          <v:line id="_x0000_s1085" style="position:absolute;left:0;text-align:left;z-index:-251679232" from="644.75pt,-14.55pt" to="644.75pt,147.7pt" strokecolor="#5b9bd5" strokeweight="1.25pt">
            <v:stroke dashstyle="3 1" joinstyle="miter"/>
          </v:line>
        </w:pict>
      </w:r>
      <w:r>
        <w:rPr>
          <w:sz w:val="30"/>
        </w:rPr>
        <w:tab/>
      </w:r>
      <w:r>
        <w:rPr>
          <w:rFonts w:hint="eastAsia"/>
          <w:sz w:val="11"/>
          <w:szCs w:val="11"/>
        </w:rPr>
        <w:t>需报备</w:t>
      </w:r>
    </w:p>
    <w:p w:rsidR="00864954" w:rsidRDefault="00864954">
      <w:pPr>
        <w:rPr>
          <w:sz w:val="30"/>
        </w:rPr>
      </w:pPr>
      <w:r>
        <w:rPr>
          <w:noProof/>
        </w:rPr>
        <w:pict>
          <v:shape id="_x0000_s1086" type="#_x0000_t32" style="position:absolute;left:0;text-align:left;margin-left:405.95pt;margin-top:-129.25pt;width:1.05pt;height:177.55pt;flip:x;z-index:-251691520" strokecolor="#5b9bd5" strokeweight="1.25pt">
            <v:stroke dashstyle="1 1" startarrow="block" joinstyle="miter"/>
          </v:shape>
        </w:pict>
      </w:r>
      <w:r>
        <w:rPr>
          <w:noProof/>
        </w:rPr>
        <w:pict>
          <v:line id="_x0000_s1087" style="position:absolute;left:0;text-align:left;z-index:251708928" from="643.8pt,8.2pt" to="683.05pt,8.2pt" strokecolor="#5b9bd5" strokeweight="1.25pt">
            <v:stroke dashstyle="1 1" endarrow="block" joinstyle="miter"/>
          </v:line>
        </w:pict>
      </w:r>
      <w:r>
        <w:rPr>
          <w:noProof/>
        </w:rPr>
        <w:pict>
          <v:shape id="_x0000_s1088" type="#_x0000_t202" style="position:absolute;left:0;text-align:left;margin-left:643.3pt;margin-top:24.75pt;width:84.7pt;height:17.35pt;z-index:-251720192" stroked="f" strokeweight=".5pt">
            <v:textbox style="mso-next-textbox:#_x0000_s1088">
              <w:txbxContent>
                <w:p w:rsidR="00864954" w:rsidRDefault="00864954">
                  <w:pPr>
                    <w:rPr>
                      <w:sz w:val="10"/>
                      <w:szCs w:val="10"/>
                    </w:rPr>
                  </w:pPr>
                  <w:r>
                    <w:rPr>
                      <w:rFonts w:hint="eastAsia"/>
                      <w:sz w:val="10"/>
                      <w:szCs w:val="10"/>
                    </w:rPr>
                    <w:t>当事人自居履行</w:t>
                  </w:r>
                </w:p>
              </w:txbxContent>
            </v:textbox>
          </v:shape>
        </w:pict>
      </w:r>
      <w:r>
        <w:rPr>
          <w:noProof/>
        </w:rPr>
        <w:pict>
          <v:line id="_x0000_s1089" style="position:absolute;left:0;text-align:left;flip:x;z-index:251680256" from="210.65pt,23.1pt" to="211.1pt,51.2pt" strokecolor="#5b9bd5" strokeweight=".5pt">
            <v:stroke dashstyle="1 1" joinstyle="miter"/>
          </v:line>
        </w:pict>
      </w:r>
      <w:r>
        <w:rPr>
          <w:noProof/>
        </w:rPr>
        <w:pict>
          <v:line id="_x0000_s1090" style="position:absolute;left:0;text-align:left;flip:x;z-index:-251709952" from="246.65pt,14.8pt" to="246.7pt,53.2pt" strokecolor="#5b9bd5" strokeweight=".5pt">
            <v:stroke dashstyle="1 1" joinstyle="miter"/>
          </v:line>
        </w:pict>
      </w:r>
      <w:r>
        <w:rPr>
          <w:noProof/>
        </w:rPr>
        <w:pict>
          <v:line id="_x0000_s1091" style="position:absolute;left:0;text-align:left;flip:x;z-index:-251712000" from="126.45pt,30.8pt" to="127.1pt,52.55pt" strokecolor="#5b9bd5" strokeweight=".5pt">
            <v:stroke dashstyle="1 1" joinstyle="miter"/>
          </v:line>
        </w:pict>
      </w:r>
      <w:r>
        <w:rPr>
          <w:noProof/>
        </w:rPr>
        <w:pict>
          <v:shape id="_x0000_s1092" type="#_x0000_t32" style="position:absolute;left:0;text-align:left;margin-left:448.95pt;margin-top:17.55pt;width:44.75pt;height:.35pt;flip:y;z-index:251686400" strokecolor="#5b9bd5" strokeweight="1.5pt">
            <v:stroke endarrow="open" joinstyle="miter"/>
          </v:shape>
        </w:pict>
      </w:r>
      <w:r>
        <w:rPr>
          <w:noProof/>
        </w:rPr>
        <w:pict>
          <v:shape id="_x0000_s1093" type="#_x0000_t202" style="position:absolute;left:0;text-align:left;margin-left:496.15pt;margin-top:4.15pt;width:48.05pt;height:20.65pt;z-index:251714048" strokecolor="#5b9bd5" strokeweight=".5pt">
            <v:textbox style="mso-next-textbox:#_x0000_s1093">
              <w:txbxContent>
                <w:p w:rsidR="00864954" w:rsidRDefault="00864954">
                  <w:pPr>
                    <w:rPr>
                      <w:sz w:val="11"/>
                      <w:szCs w:val="11"/>
                    </w:rPr>
                  </w:pPr>
                  <w:r>
                    <w:rPr>
                      <w:rFonts w:hint="eastAsia"/>
                      <w:sz w:val="11"/>
                      <w:szCs w:val="11"/>
                    </w:rPr>
                    <w:t>行政建议</w:t>
                  </w:r>
                </w:p>
              </w:txbxContent>
            </v:textbox>
          </v:shape>
        </w:pict>
      </w:r>
      <w:r>
        <w:rPr>
          <w:noProof/>
        </w:rPr>
        <w:pict>
          <v:shape id="_x0000_s1094" type="#_x0000_t32" style="position:absolute;left:0;text-align:left;margin-left:384.5pt;margin-top:17.2pt;width:42.7pt;height:0;z-index:-251677184" strokecolor="#5b9bd5" strokeweight="1.5pt">
            <v:stroke endarrow="open" joinstyle="miter"/>
          </v:shape>
        </w:pict>
      </w:r>
      <w:r>
        <w:rPr>
          <w:sz w:val="30"/>
        </w:rPr>
        <w:t xml:space="preserve">                     </w:t>
      </w:r>
    </w:p>
    <w:tbl>
      <w:tblPr>
        <w:tblpPr w:leftFromText="180" w:rightFromText="180" w:vertAnchor="text" w:horzAnchor="page" w:tblpX="3774" w:tblpY="448"/>
        <w:tblOverlap w:val="never"/>
        <w:tblW w:w="1040" w:type="dxa"/>
        <w:tblLayout w:type="fixed"/>
        <w:tblLook w:val="00A0"/>
      </w:tblPr>
      <w:tblGrid>
        <w:gridCol w:w="1040"/>
      </w:tblGrid>
      <w:tr w:rsidR="00864954" w:rsidRPr="001B1AB3" w:rsidTr="001B1AB3">
        <w:trPr>
          <w:trHeight w:val="190"/>
        </w:trPr>
        <w:tc>
          <w:tcPr>
            <w:tcW w:w="1040" w:type="dxa"/>
          </w:tcPr>
          <w:p w:rsidR="00864954" w:rsidRPr="001B1AB3" w:rsidRDefault="00864954" w:rsidP="001B1AB3">
            <w:pPr>
              <w:jc w:val="center"/>
              <w:rPr>
                <w:sz w:val="10"/>
                <w:szCs w:val="10"/>
              </w:rPr>
            </w:pPr>
            <w:r w:rsidRPr="001B1AB3">
              <w:rPr>
                <w:rFonts w:hint="eastAsia"/>
                <w:sz w:val="10"/>
                <w:szCs w:val="10"/>
              </w:rPr>
              <w:t>补充调查</w:t>
            </w:r>
          </w:p>
        </w:tc>
      </w:tr>
    </w:tbl>
    <w:p w:rsidR="00864954" w:rsidRDefault="00864954">
      <w:pPr>
        <w:jc w:val="center"/>
      </w:pPr>
      <w:r>
        <w:rPr>
          <w:noProof/>
        </w:rPr>
        <w:pict>
          <v:shape id="_x0000_s1095" type="#_x0000_t32" style="position:absolute;left:0;text-align:left;margin-left:762.1pt;margin-top:162.7pt;width:20.95pt;height:.3pt;z-index:-251689472;mso-position-horizontal-relative:text;mso-position-vertical-relative:text" strokecolor="#5b9bd5" strokeweight="1.5pt">
            <v:stroke joinstyle="miter"/>
          </v:shape>
        </w:pict>
      </w:r>
      <w:r>
        <w:rPr>
          <w:noProof/>
        </w:rPr>
        <w:pict>
          <v:shape id="_x0000_s1096" type="#_x0000_t202" style="position:absolute;left:0;text-align:left;margin-left:761.8pt;margin-top:61.5pt;width:19.35pt;height:87.9pt;z-index:251692544;mso-position-horizontal-relative:text;mso-position-vertical-relative:text" stroked="f" strokeweight=".5pt">
            <v:textbox style="mso-next-textbox:#_x0000_s1096">
              <w:txbxContent>
                <w:p w:rsidR="00864954" w:rsidRDefault="00864954">
                  <w:pPr>
                    <w:spacing w:line="140" w:lineRule="exact"/>
                    <w:rPr>
                      <w:sz w:val="10"/>
                      <w:szCs w:val="10"/>
                    </w:rPr>
                  </w:pPr>
                  <w:r>
                    <w:rPr>
                      <w:rFonts w:hint="eastAsia"/>
                      <w:sz w:val="10"/>
                      <w:szCs w:val="10"/>
                    </w:rPr>
                    <w:t>判决或裁定后执行完毕</w:t>
                  </w:r>
                </w:p>
              </w:txbxContent>
            </v:textbox>
          </v:shape>
        </w:pict>
      </w:r>
      <w:r>
        <w:rPr>
          <w:noProof/>
        </w:rPr>
        <w:pict>
          <v:shape id="_x0000_s1097" type="#_x0000_t32" style="position:absolute;left:0;text-align:left;margin-left:785.6pt;margin-top:64.2pt;width:2.3pt;height:238.2pt;z-index:-251703808;mso-position-horizontal-relative:text;mso-position-vertical-relative:text" strokecolor="#5b9bd5" strokeweight="1.5pt">
            <v:stroke startarrow="block" joinstyle="miter"/>
          </v:shape>
        </w:pict>
      </w:r>
      <w:r>
        <w:rPr>
          <w:noProof/>
        </w:rPr>
        <w:pict>
          <v:shape id="_x0000_s1098" type="#_x0000_t32" style="position:absolute;left:0;text-align:left;margin-left:742.8pt;margin-top:214.9pt;width:42.35pt;height:.1pt;flip:y;z-index:-251699712;mso-position-horizontal-relative:text;mso-position-vertical-relative:text" strokecolor="#5b9bd5" strokeweight="1.5pt">
            <v:stroke joinstyle="miter"/>
          </v:shape>
        </w:pict>
      </w:r>
      <w:r>
        <w:rPr>
          <w:noProof/>
        </w:rPr>
        <w:pict>
          <v:shape id="_x0000_s1099" type="#_x0000_t202" style="position:absolute;left:0;text-align:left;margin-left:732.45pt;margin-top:30.7pt;width:28.35pt;height:169.9pt;z-index:-251696640;mso-position-horizontal-relative:text;mso-position-vertical-relative:text" strokecolor="#5b9bd5" strokeweight=".5pt">
            <v:textbox style="mso-next-textbox:#_x0000_s1099">
              <w:txbxContent>
                <w:p w:rsidR="00864954" w:rsidRDefault="00864954">
                  <w:pPr>
                    <w:adjustRightInd w:val="0"/>
                    <w:snapToGrid w:val="0"/>
                    <w:spacing w:line="180" w:lineRule="exact"/>
                    <w:rPr>
                      <w:sz w:val="11"/>
                      <w:szCs w:val="11"/>
                    </w:rPr>
                  </w:pPr>
                  <w:r>
                    <w:rPr>
                      <w:rFonts w:hint="eastAsia"/>
                      <w:sz w:val="11"/>
                      <w:szCs w:val="11"/>
                    </w:rPr>
                    <w:t>复议、诉讼期满</w:t>
                  </w:r>
                  <w:r>
                    <w:rPr>
                      <w:sz w:val="11"/>
                      <w:szCs w:val="11"/>
                    </w:rPr>
                    <w:t>3</w:t>
                  </w:r>
                  <w:r>
                    <w:rPr>
                      <w:rFonts w:hint="eastAsia"/>
                      <w:sz w:val="11"/>
                      <w:szCs w:val="11"/>
                    </w:rPr>
                    <w:t>个月</w:t>
                  </w:r>
                  <w:r>
                    <w:rPr>
                      <w:sz w:val="11"/>
                      <w:szCs w:val="11"/>
                    </w:rPr>
                    <w:t xml:space="preserve"> </w:t>
                  </w:r>
                  <w:r>
                    <w:rPr>
                      <w:rFonts w:hint="eastAsia"/>
                      <w:sz w:val="11"/>
                      <w:szCs w:val="11"/>
                    </w:rPr>
                    <w:t>内申请强制执行（期满前十起日书面催告执行）</w:t>
                  </w:r>
                </w:p>
              </w:txbxContent>
            </v:textbox>
          </v:shape>
        </w:pict>
      </w:r>
      <w:r>
        <w:rPr>
          <w:noProof/>
        </w:rPr>
        <w:pict>
          <v:shape id="_x0000_s1100" type="#_x0000_t32" style="position:absolute;left:0;text-align:left;margin-left:717.35pt;margin-top:96.85pt;width:16.2pt;height:0;z-index:251717120;mso-position-horizontal-relative:text;mso-position-vertical-relative:text" strokecolor="#5b9bd5" strokeweight="1.5pt">
            <v:stroke endarrow="open" joinstyle="miter"/>
          </v:shape>
        </w:pict>
      </w:r>
      <w:r>
        <w:rPr>
          <w:noProof/>
        </w:rPr>
        <w:pict>
          <v:shape id="_x0000_s1101" type="#_x0000_t202" style="position:absolute;left:0;text-align:left;margin-left:695.95pt;margin-top:28.55pt;width:21.3pt;height:151.85pt;z-index:-251684352;mso-position-horizontal-relative:text;mso-position-vertical-relative:text" strokecolor="#5b9bd5" strokeweight=".5pt">
            <v:textbox style="mso-next-textbox:#_x0000_s1101">
              <w:txbxContent>
                <w:p w:rsidR="00864954" w:rsidRDefault="00864954">
                  <w:pPr>
                    <w:adjustRightInd w:val="0"/>
                    <w:snapToGrid w:val="0"/>
                    <w:spacing w:line="240" w:lineRule="exact"/>
                    <w:rPr>
                      <w:sz w:val="11"/>
                      <w:szCs w:val="11"/>
                    </w:rPr>
                  </w:pPr>
                  <w:r>
                    <w:rPr>
                      <w:rFonts w:hint="eastAsia"/>
                      <w:sz w:val="11"/>
                      <w:szCs w:val="11"/>
                    </w:rPr>
                    <w:t>质监部门主要负责人批准</w:t>
                  </w:r>
                </w:p>
              </w:txbxContent>
            </v:textbox>
          </v:shape>
        </w:pict>
      </w:r>
      <w:r>
        <w:rPr>
          <w:noProof/>
        </w:rPr>
        <w:pict>
          <v:shape id="_x0000_s1102" type="#_x0000_t202" style="position:absolute;left:0;text-align:left;margin-left:645.5pt;margin-top:74.2pt;width:50.05pt;height:20.35pt;z-index:251702784;mso-position-horizontal-relative:text;mso-position-vertical-relative:text" stroked="f" strokeweight=".5pt">
            <v:textbox style="mso-next-textbox:#_x0000_s1102">
              <w:txbxContent>
                <w:p w:rsidR="00864954" w:rsidRDefault="00864954">
                  <w:pPr>
                    <w:rPr>
                      <w:sz w:val="10"/>
                      <w:szCs w:val="10"/>
                    </w:rPr>
                  </w:pPr>
                  <w:r>
                    <w:rPr>
                      <w:rFonts w:hint="eastAsia"/>
                      <w:sz w:val="10"/>
                      <w:szCs w:val="10"/>
                    </w:rPr>
                    <w:t>当事人拒不履行</w:t>
                  </w:r>
                </w:p>
              </w:txbxContent>
            </v:textbox>
          </v:shape>
        </w:pict>
      </w:r>
      <w:r>
        <w:rPr>
          <w:noProof/>
        </w:rPr>
        <w:pict>
          <v:line id="_x0000_s1103" style="position:absolute;left:0;text-align:left;z-index:-251678208;mso-position-horizontal-relative:text;mso-position-vertical-relative:text" from="646.25pt,97.15pt" to="685.5pt,97.15pt" strokecolor="#5b9bd5" strokeweight="1.25pt">
            <v:stroke dashstyle="1 1" joinstyle="miter"/>
          </v:line>
        </w:pict>
      </w:r>
      <w:r>
        <w:rPr>
          <w:noProof/>
        </w:rPr>
        <w:pict>
          <v:shape id="_x0000_s1104" type="#_x0000_t32" style="position:absolute;left:0;text-align:left;margin-left:603.7pt;margin-top:119.05pt;width:.3pt;height:36.1pt;flip:x;z-index:251719168;mso-position-horizontal-relative:text;mso-position-vertical-relative:text" strokecolor="#41719c" strokeweight="1pt">
            <v:stroke endarrow="block" joinstyle="miter"/>
          </v:shape>
        </w:pict>
      </w:r>
      <w:r>
        <w:rPr>
          <w:noProof/>
        </w:rPr>
        <w:pict>
          <v:shape id="_x0000_s1105" type="#_x0000_t32" style="position:absolute;left:0;text-align:left;margin-left:603.25pt;margin-top:178.65pt;width:.3pt;height:28.25pt;z-index:251713024;mso-position-horizontal-relative:text;mso-position-vertical-relative:text" strokecolor="#5b9bd5" strokeweight="1.5pt">
            <v:stroke endarrow="open" joinstyle="miter"/>
          </v:shape>
        </w:pict>
      </w:r>
      <w:r>
        <w:rPr>
          <w:noProof/>
        </w:rPr>
        <w:pict>
          <v:shape id="_x0000_s1106" type="#_x0000_t202" style="position:absolute;left:0;text-align:left;margin-left:569.75pt;margin-top:154.3pt;width:71.8pt;height:21.3pt;z-index:-251697664;mso-position-horizontal-relative:text;mso-position-vertical-relative:text" strokecolor="#5b9bd5" strokeweight=".5pt">
            <v:textbox style="mso-next-textbox:#_x0000_s1106">
              <w:txbxContent>
                <w:p w:rsidR="00864954" w:rsidRDefault="00864954">
                  <w:pPr>
                    <w:jc w:val="center"/>
                    <w:rPr>
                      <w:sz w:val="11"/>
                      <w:szCs w:val="11"/>
                    </w:rPr>
                  </w:pPr>
                  <w:r>
                    <w:rPr>
                      <w:rFonts w:hint="eastAsia"/>
                      <w:sz w:val="11"/>
                      <w:szCs w:val="11"/>
                    </w:rPr>
                    <w:t>案审会集体审理</w:t>
                  </w:r>
                  <w:r>
                    <w:rPr>
                      <w:sz w:val="11"/>
                      <w:szCs w:val="11"/>
                    </w:rPr>
                    <w:t xml:space="preserve">                                </w:t>
                  </w:r>
                </w:p>
                <w:tbl>
                  <w:tblPr>
                    <w:tblOverlap w:val="never"/>
                    <w:tblW w:w="1040" w:type="dxa"/>
                    <w:tblLayout w:type="fixed"/>
                    <w:tblLook w:val="00A0"/>
                  </w:tblPr>
                  <w:tblGrid>
                    <w:gridCol w:w="1040"/>
                  </w:tblGrid>
                  <w:tr w:rsidR="00864954" w:rsidRPr="001B1AB3" w:rsidTr="001B1AB3">
                    <w:trPr>
                      <w:trHeight w:val="190"/>
                    </w:trPr>
                    <w:tc>
                      <w:tcPr>
                        <w:tcW w:w="1040" w:type="dxa"/>
                      </w:tcPr>
                      <w:p w:rsidR="00864954" w:rsidRPr="001B1AB3" w:rsidRDefault="00864954" w:rsidP="001B1AB3">
                        <w:pPr>
                          <w:jc w:val="center"/>
                          <w:rPr>
                            <w:sz w:val="10"/>
                            <w:szCs w:val="10"/>
                          </w:rPr>
                        </w:pPr>
                        <w:r w:rsidRPr="001B1AB3">
                          <w:rPr>
                            <w:rFonts w:hint="eastAsia"/>
                            <w:sz w:val="10"/>
                            <w:szCs w:val="10"/>
                          </w:rPr>
                          <w:t>补充调查</w:t>
                        </w:r>
                      </w:p>
                    </w:tc>
                  </w:tr>
                </w:tbl>
                <w:p w:rsidR="00864954" w:rsidRDefault="00864954">
                  <w:pPr>
                    <w:jc w:val="center"/>
                    <w:rPr>
                      <w:sz w:val="11"/>
                      <w:szCs w:val="11"/>
                    </w:rPr>
                  </w:pPr>
                </w:p>
              </w:txbxContent>
            </v:textbox>
          </v:shape>
        </w:pict>
      </w:r>
      <w:r>
        <w:rPr>
          <w:noProof/>
        </w:rPr>
        <w:pict>
          <v:shape id="_x0000_s1107" type="#_x0000_t202" style="position:absolute;left:0;text-align:left;margin-left:681.6pt;margin-top:204.4pt;width:62.05pt;height:21.35pt;z-index:251709952;mso-position-horizontal-relative:text;mso-position-vertical-relative:text" strokecolor="#5b9bd5" strokeweight=".5pt">
            <v:textbox style="mso-next-textbox:#_x0000_s1107">
              <w:txbxContent>
                <w:p w:rsidR="00864954" w:rsidRDefault="00864954">
                  <w:pPr>
                    <w:rPr>
                      <w:sz w:val="11"/>
                      <w:szCs w:val="11"/>
                    </w:rPr>
                  </w:pPr>
                  <w:r>
                    <w:rPr>
                      <w:rFonts w:hint="eastAsia"/>
                      <w:sz w:val="11"/>
                      <w:szCs w:val="11"/>
                    </w:rPr>
                    <w:t>终止执行处罚决定</w:t>
                  </w:r>
                </w:p>
              </w:txbxContent>
            </v:textbox>
          </v:shape>
        </w:pict>
      </w:r>
      <w:r>
        <w:rPr>
          <w:noProof/>
        </w:rPr>
        <w:pict>
          <v:shape id="_x0000_s1108" type="#_x0000_t32" style="position:absolute;left:0;text-align:left;margin-left:653.8pt;margin-top:216.55pt;width:26.4pt;height:.6pt;z-index:-251680256;mso-position-horizontal-relative:text;mso-position-vertical-relative:text" strokecolor="#5b9bd5" strokeweight="1.5pt">
            <v:stroke endarrow="open" joinstyle="miter"/>
          </v:shape>
        </w:pict>
      </w:r>
      <w:r>
        <w:rPr>
          <w:noProof/>
        </w:rPr>
        <w:pict>
          <v:shape id="_x0000_s1109" type="#_x0000_t202" style="position:absolute;left:0;text-align:left;margin-left:578.35pt;margin-top:206.75pt;width:76.35pt;height:21.35pt;z-index:-251715072;mso-position-horizontal-relative:text;mso-position-vertical-relative:text" strokecolor="#5b9bd5" strokeweight=".5pt">
            <v:textbox style="mso-next-textbox:#_x0000_s1109">
              <w:txbxContent>
                <w:p w:rsidR="00864954" w:rsidRDefault="00864954">
                  <w:pPr>
                    <w:rPr>
                      <w:sz w:val="11"/>
                      <w:szCs w:val="11"/>
                    </w:rPr>
                  </w:pPr>
                  <w:r>
                    <w:rPr>
                      <w:rFonts w:hint="eastAsia"/>
                      <w:sz w:val="11"/>
                      <w:szCs w:val="11"/>
                    </w:rPr>
                    <w:t>质监部门主要负责人批准</w:t>
                  </w:r>
                </w:p>
              </w:txbxContent>
            </v:textbox>
          </v:shape>
        </w:pict>
      </w:r>
      <w:r>
        <w:rPr>
          <w:noProof/>
        </w:rPr>
        <w:pict>
          <v:shape id="_x0000_s1110" type="#_x0000_t202" style="position:absolute;left:0;text-align:left;margin-left:566.45pt;margin-top:70.05pt;width:70.6pt;height:48.1pt;z-index:251712000;mso-position-horizontal-relative:text;mso-position-vertical-relative:text" strokecolor="#5b9bd5" strokeweight=".5pt">
            <v:textbox style="mso-next-textbox:#_x0000_s1110">
              <w:txbxContent>
                <w:p w:rsidR="00864954" w:rsidRDefault="00864954">
                  <w:pPr>
                    <w:adjustRightInd w:val="0"/>
                    <w:snapToGrid w:val="0"/>
                    <w:spacing w:line="240" w:lineRule="exact"/>
                    <w:rPr>
                      <w:sz w:val="11"/>
                      <w:szCs w:val="11"/>
                    </w:rPr>
                  </w:pPr>
                  <w:r>
                    <w:rPr>
                      <w:rFonts w:hint="eastAsia"/>
                      <w:sz w:val="11"/>
                      <w:szCs w:val="11"/>
                    </w:rPr>
                    <w:t>自然人死亡或法人、其他组织终止且无权利义务承受人</w:t>
                  </w:r>
                </w:p>
              </w:txbxContent>
            </v:textbox>
          </v:shape>
        </w:pict>
      </w:r>
      <w:r>
        <w:rPr>
          <w:noProof/>
        </w:rPr>
        <w:pict>
          <v:shape id="_x0000_s1111" type="#_x0000_t32" style="position:absolute;left:0;text-align:left;margin-left:605.95pt;margin-top:40.55pt;width:.3pt;height:27.2pt;flip:x;z-index:251710976;mso-position-horizontal-relative:text;mso-position-vertical-relative:text" strokecolor="#41719c" strokeweight="1pt">
            <v:stroke dashstyle="1 1" endarrow="block" joinstyle="miter"/>
          </v:shape>
        </w:pict>
      </w:r>
      <w:r>
        <w:rPr>
          <w:noProof/>
        </w:rPr>
        <w:pict>
          <v:shape id="_x0000_s1112" type="#_x0000_t32" style="position:absolute;left:0;text-align:left;margin-left:530.95pt;margin-top:219.85pt;width:24pt;height:.3pt;z-index:-251683328;mso-position-horizontal-relative:text;mso-position-vertical-relative:text" strokecolor="#5b9bd5" strokeweight="1.5pt">
            <v:stroke joinstyle="miter"/>
          </v:shape>
        </w:pict>
      </w:r>
      <w:r>
        <w:rPr>
          <w:noProof/>
        </w:rPr>
        <w:pict>
          <v:line id="_x0000_s1113" style="position:absolute;left:0;text-align:left;flip:x;z-index:-251682304;mso-position-horizontal-relative:text;mso-position-vertical-relative:text" from="552.65pt,33.3pt" to="553.65pt,220.15pt" strokecolor="#5b9bd5" strokeweight="1.25pt">
            <v:stroke startarrow="block" joinstyle="miter"/>
          </v:line>
        </w:pict>
      </w:r>
      <w:r>
        <w:rPr>
          <w:noProof/>
        </w:rPr>
        <w:pict>
          <v:shape id="_x0000_s1114" type="#_x0000_t202" style="position:absolute;left:0;text-align:left;margin-left:454.65pt;margin-top:208.35pt;width:76.35pt;height:21.35pt;z-index:-251688448;mso-position-horizontal-relative:text;mso-position-vertical-relative:text" strokecolor="#5b9bd5" strokeweight=".5pt">
            <v:textbox style="mso-next-textbox:#_x0000_s1114">
              <w:txbxContent>
                <w:p w:rsidR="00864954" w:rsidRDefault="00864954">
                  <w:pPr>
                    <w:rPr>
                      <w:sz w:val="11"/>
                      <w:szCs w:val="11"/>
                    </w:rPr>
                  </w:pPr>
                  <w:r>
                    <w:rPr>
                      <w:rFonts w:hint="eastAsia"/>
                      <w:sz w:val="11"/>
                      <w:szCs w:val="11"/>
                    </w:rPr>
                    <w:t>质监部门主要负责人批准</w:t>
                  </w:r>
                </w:p>
              </w:txbxContent>
            </v:textbox>
          </v:shape>
        </w:pict>
      </w:r>
      <w:r>
        <w:rPr>
          <w:noProof/>
        </w:rPr>
        <w:pict>
          <v:shape id="_x0000_s1115" type="#_x0000_t32" style="position:absolute;left:0;text-align:left;margin-left:410.85pt;margin-top:218.4pt;width:42.7pt;height:0;z-index:-251718144;mso-position-horizontal-relative:text;mso-position-vertical-relative:text" strokecolor="#5b9bd5" strokeweight="1.5pt">
            <v:stroke endarrow="open" joinstyle="miter"/>
          </v:shape>
        </w:pict>
      </w:r>
      <w:r>
        <w:rPr>
          <w:noProof/>
        </w:rPr>
        <w:pict>
          <v:shape id="_x0000_s1116" type="#_x0000_t202" style="position:absolute;left:0;text-align:left;margin-left:332.2pt;margin-top:208.2pt;width:77.8pt;height:18.35pt;z-index:251700736;mso-position-horizontal-relative:text;mso-position-vertical-relative:text" strokecolor="#5b9bd5" strokeweight=".5pt">
            <v:textbox style="mso-next-textbox:#_x0000_s1116">
              <w:txbxContent>
                <w:p w:rsidR="00864954" w:rsidRDefault="00864954">
                  <w:pPr>
                    <w:rPr>
                      <w:sz w:val="11"/>
                      <w:szCs w:val="11"/>
                    </w:rPr>
                  </w:pPr>
                  <w:r>
                    <w:rPr>
                      <w:rFonts w:hint="eastAsia"/>
                      <w:sz w:val="11"/>
                      <w:szCs w:val="11"/>
                    </w:rPr>
                    <w:t>重新履行行政处罚告知</w:t>
                  </w:r>
                </w:p>
              </w:txbxContent>
            </v:textbox>
          </v:shape>
        </w:pict>
      </w:r>
      <w:r>
        <w:rPr>
          <w:noProof/>
        </w:rPr>
        <w:pict>
          <v:shape id="_x0000_s1117" type="#_x0000_t202" style="position:absolute;left:0;text-align:left;margin-left:462.1pt;margin-top:173.3pt;width:84.7pt;height:1in;z-index:251716096;mso-position-horizontal-relative:text;mso-position-vertical-relative:text" stroked="f" strokeweight=".5pt">
            <v:textbox style="mso-next-textbox:#_x0000_s1117;mso-fit-shape-to-text:t">
              <w:txbxContent>
                <w:p w:rsidR="00864954" w:rsidRDefault="00864954">
                  <w:pPr>
                    <w:rPr>
                      <w:sz w:val="10"/>
                      <w:szCs w:val="10"/>
                    </w:rPr>
                  </w:pPr>
                  <w:r>
                    <w:rPr>
                      <w:rFonts w:hint="eastAsia"/>
                      <w:sz w:val="10"/>
                      <w:szCs w:val="10"/>
                    </w:rPr>
                    <w:t>维持原处理意见</w:t>
                  </w:r>
                </w:p>
              </w:txbxContent>
            </v:textbox>
          </v:shape>
        </w:pict>
      </w:r>
      <w:r>
        <w:rPr>
          <w:noProof/>
        </w:rPr>
        <w:pict>
          <v:shape id="_x0000_s1118" type="#_x0000_t202" style="position:absolute;left:0;text-align:left;margin-left:280.3pt;margin-top:173.35pt;width:84.7pt;height:1in;z-index:-251692544;mso-position-horizontal-relative:text;mso-position-vertical-relative:text" stroked="f" strokeweight=".5pt">
            <v:textbox style="mso-next-textbox:#_x0000_s1118;mso-fit-shape-to-text:t">
              <w:txbxContent>
                <w:p w:rsidR="00864954" w:rsidRDefault="00864954">
                  <w:pPr>
                    <w:rPr>
                      <w:sz w:val="10"/>
                      <w:szCs w:val="10"/>
                    </w:rPr>
                  </w:pPr>
                  <w:r>
                    <w:rPr>
                      <w:rFonts w:hint="eastAsia"/>
                      <w:sz w:val="10"/>
                      <w:szCs w:val="10"/>
                    </w:rPr>
                    <w:t>改变原认定事实、证据及处罚等</w:t>
                  </w:r>
                </w:p>
              </w:txbxContent>
            </v:textbox>
          </v:shape>
        </w:pict>
      </w:r>
      <w:r>
        <w:rPr>
          <w:noProof/>
        </w:rPr>
        <w:pict>
          <v:shape id="_x0000_s1119" type="#_x0000_t32" style="position:absolute;left:0;text-align:left;margin-left:461.9pt;margin-top:164.95pt;width:.95pt;height:40.8pt;z-index:251718144;mso-position-horizontal-relative:text;mso-position-vertical-relative:text" strokecolor="#41719c" strokeweight="1pt">
            <v:stroke endarrow="block" joinstyle="miter"/>
          </v:shape>
        </w:pict>
      </w:r>
      <w:r>
        <w:rPr>
          <w:noProof/>
        </w:rPr>
        <w:pict>
          <v:shape id="_x0000_s1120" type="#_x0000_t32" style="position:absolute;left:0;text-align:left;margin-left:371.25pt;margin-top:166.45pt;width:.95pt;height:40.8pt;z-index:-251694592;mso-position-horizontal-relative:text;mso-position-vertical-relative:text" strokecolor="#41719c" strokeweight="1pt">
            <v:stroke endarrow="block" joinstyle="miter"/>
          </v:shape>
        </w:pict>
      </w:r>
      <w:r>
        <w:rPr>
          <w:noProof/>
        </w:rPr>
        <w:pict>
          <v:shape id="_x0000_s1121" type="#_x0000_t202" style="position:absolute;left:0;text-align:left;margin-left:331.35pt;margin-top:144.6pt;width:164.6pt;height:21.35pt;z-index:-251676160;mso-position-horizontal-relative:text;mso-position-vertical-relative:text" strokecolor="#5b9bd5" strokeweight=".5pt">
            <v:textbox style="mso-next-textbox:#_x0000_s1121">
              <w:txbxContent>
                <w:p w:rsidR="00864954" w:rsidRDefault="00864954">
                  <w:pPr>
                    <w:jc w:val="center"/>
                    <w:rPr>
                      <w:sz w:val="11"/>
                      <w:szCs w:val="11"/>
                    </w:rPr>
                  </w:pPr>
                  <w:r>
                    <w:rPr>
                      <w:rFonts w:hint="eastAsia"/>
                      <w:sz w:val="11"/>
                      <w:szCs w:val="11"/>
                    </w:rPr>
                    <w:t>案审会集体审理</w:t>
                  </w:r>
                  <w:r>
                    <w:rPr>
                      <w:sz w:val="11"/>
                      <w:szCs w:val="11"/>
                    </w:rPr>
                    <w:t xml:space="preserve">                                </w:t>
                  </w:r>
                </w:p>
                <w:tbl>
                  <w:tblPr>
                    <w:tblOverlap w:val="never"/>
                    <w:tblW w:w="1040" w:type="dxa"/>
                    <w:tblLayout w:type="fixed"/>
                    <w:tblLook w:val="00A0"/>
                  </w:tblPr>
                  <w:tblGrid>
                    <w:gridCol w:w="1040"/>
                  </w:tblGrid>
                  <w:tr w:rsidR="00864954" w:rsidRPr="001B1AB3" w:rsidTr="001B1AB3">
                    <w:trPr>
                      <w:trHeight w:val="190"/>
                    </w:trPr>
                    <w:tc>
                      <w:tcPr>
                        <w:tcW w:w="1040" w:type="dxa"/>
                      </w:tcPr>
                      <w:p w:rsidR="00864954" w:rsidRPr="001B1AB3" w:rsidRDefault="00864954" w:rsidP="001B1AB3">
                        <w:pPr>
                          <w:jc w:val="center"/>
                          <w:rPr>
                            <w:sz w:val="10"/>
                            <w:szCs w:val="10"/>
                          </w:rPr>
                        </w:pPr>
                        <w:r w:rsidRPr="001B1AB3">
                          <w:rPr>
                            <w:rFonts w:hint="eastAsia"/>
                            <w:sz w:val="10"/>
                            <w:szCs w:val="10"/>
                          </w:rPr>
                          <w:t>补充调查</w:t>
                        </w:r>
                      </w:p>
                    </w:tc>
                  </w:tr>
                </w:tbl>
                <w:p w:rsidR="00864954" w:rsidRDefault="00864954">
                  <w:pPr>
                    <w:jc w:val="center"/>
                    <w:rPr>
                      <w:sz w:val="11"/>
                      <w:szCs w:val="11"/>
                    </w:rPr>
                  </w:pPr>
                </w:p>
              </w:txbxContent>
            </v:textbox>
          </v:shape>
        </w:pict>
      </w:r>
      <w:r>
        <w:rPr>
          <w:noProof/>
        </w:rPr>
        <w:pict>
          <v:shape id="_x0000_s1122" type="#_x0000_t32" style="position:absolute;left:0;text-align:left;margin-left:470.15pt;margin-top:125.85pt;width:.2pt;height:14.25pt;flip:x;z-index:251704832;mso-position-horizontal-relative:text;mso-position-vertical-relative:text" strokecolor="#41719c" strokeweight="1pt">
            <v:stroke endarrow="block" joinstyle="miter"/>
          </v:shape>
        </w:pict>
      </w:r>
      <w:r>
        <w:rPr>
          <w:noProof/>
        </w:rPr>
        <w:pict>
          <v:shape id="_x0000_s1123" type="#_x0000_t32" style="position:absolute;left:0;text-align:left;margin-left:344.8pt;margin-top:125.85pt;width:.2pt;height:14.25pt;flip:x;z-index:251705856;mso-position-horizontal-relative:text;mso-position-vertical-relative:text" strokecolor="#41719c" strokeweight="1pt">
            <v:stroke endarrow="block" joinstyle="miter"/>
          </v:shape>
        </w:pict>
      </w:r>
      <w:r>
        <w:rPr>
          <w:noProof/>
        </w:rPr>
        <w:pict>
          <v:shape id="_x0000_s1124" type="#_x0000_t202" style="position:absolute;left:0;text-align:left;margin-left:431.15pt;margin-top:107.05pt;width:77.8pt;height:18.35pt;z-index:-251700736;mso-position-horizontal-relative:text;mso-position-vertical-relative:text" strokecolor="#5b9bd5" strokeweight=".5pt">
            <v:textbox style="mso-next-textbox:#_x0000_s1124">
              <w:txbxContent>
                <w:p w:rsidR="00864954" w:rsidRDefault="00864954" w:rsidP="00BF6D2B">
                  <w:pPr>
                    <w:ind w:firstLineChars="200" w:firstLine="220"/>
                    <w:rPr>
                      <w:sz w:val="11"/>
                      <w:szCs w:val="11"/>
                    </w:rPr>
                  </w:pPr>
                  <w:r>
                    <w:rPr>
                      <w:rFonts w:hint="eastAsia"/>
                      <w:sz w:val="11"/>
                      <w:szCs w:val="11"/>
                    </w:rPr>
                    <w:t>复核</w:t>
                  </w:r>
                </w:p>
              </w:txbxContent>
            </v:textbox>
          </v:shape>
        </w:pict>
      </w:r>
      <w:r>
        <w:rPr>
          <w:noProof/>
        </w:rPr>
        <w:pict>
          <v:shape id="_x0000_s1125" type="#_x0000_t202" style="position:absolute;left:0;text-align:left;margin-left:428.75pt;margin-top:70.05pt;width:77.8pt;height:18.35pt;z-index:251699712;mso-position-horizontal-relative:text;mso-position-vertical-relative:text" strokecolor="#5b9bd5" strokeweight=".5pt">
            <v:textbox style="mso-next-textbox:#_x0000_s1125">
              <w:txbxContent>
                <w:p w:rsidR="00864954" w:rsidRDefault="00864954">
                  <w:pPr>
                    <w:rPr>
                      <w:sz w:val="11"/>
                      <w:szCs w:val="11"/>
                    </w:rPr>
                  </w:pPr>
                  <w:r>
                    <w:rPr>
                      <w:rFonts w:hint="eastAsia"/>
                      <w:sz w:val="11"/>
                      <w:szCs w:val="11"/>
                    </w:rPr>
                    <w:t>当事人陈述申辩</w:t>
                  </w:r>
                </w:p>
              </w:txbxContent>
            </v:textbox>
          </v:shape>
        </w:pict>
      </w:r>
      <w:r>
        <w:rPr>
          <w:noProof/>
        </w:rPr>
        <w:pict>
          <v:shape id="_x0000_s1126" type="#_x0000_t202" style="position:absolute;left:0;text-align:left;margin-left:308pt;margin-top:106.2pt;width:77.8pt;height:18.35pt;z-index:251698688;mso-position-horizontal-relative:text;mso-position-vertical-relative:text" strokecolor="#5b9bd5" strokeweight=".5pt">
            <v:textbox style="mso-next-textbox:#_x0000_s1126">
              <w:txbxContent>
                <w:p w:rsidR="00864954" w:rsidRDefault="00864954">
                  <w:pPr>
                    <w:rPr>
                      <w:sz w:val="11"/>
                      <w:szCs w:val="11"/>
                    </w:rPr>
                  </w:pPr>
                  <w:r>
                    <w:rPr>
                      <w:sz w:val="11"/>
                      <w:szCs w:val="11"/>
                    </w:rPr>
                    <w:t>15</w:t>
                  </w:r>
                  <w:r>
                    <w:rPr>
                      <w:rFonts w:hint="eastAsia"/>
                      <w:sz w:val="11"/>
                      <w:szCs w:val="11"/>
                    </w:rPr>
                    <w:t>日内举行听证</w:t>
                  </w:r>
                </w:p>
              </w:txbxContent>
            </v:textbox>
          </v:shape>
        </w:pict>
      </w:r>
      <w:r>
        <w:rPr>
          <w:noProof/>
        </w:rPr>
        <w:pict>
          <v:shape id="_x0000_s1127" type="#_x0000_t32" style="position:absolute;left:0;text-align:left;margin-left:464.95pt;margin-top:88.95pt;width:.2pt;height:14.25pt;flip:x;z-index:-251695616;mso-position-horizontal-relative:text;mso-position-vertical-relative:text" strokecolor="#41719c" strokeweight="1pt">
            <v:stroke endarrow="block" joinstyle="miter"/>
          </v:shape>
        </w:pict>
      </w:r>
      <w:r>
        <w:rPr>
          <w:noProof/>
        </w:rPr>
        <w:pict>
          <v:shape id="_x0000_s1128" type="#_x0000_t32" style="position:absolute;left:0;text-align:left;margin-left:343.4pt;margin-top:87.45pt;width:.2pt;height:14.25pt;flip:x;z-index:-251698688;mso-position-horizontal-relative:text;mso-position-vertical-relative:text" strokecolor="#41719c" strokeweight="1pt">
            <v:stroke endarrow="block" joinstyle="miter"/>
          </v:shape>
        </w:pict>
      </w:r>
      <w:r>
        <w:rPr>
          <w:noProof/>
        </w:rPr>
        <w:pict>
          <v:shape id="_x0000_s1129" type="#_x0000_t202" style="position:absolute;left:0;text-align:left;margin-left:305.85pt;margin-top:66.35pt;width:77.8pt;height:18.35pt;z-index:-251701760;mso-position-horizontal-relative:text;mso-position-vertical-relative:text" strokecolor="#5b9bd5" strokeweight=".5pt">
            <v:textbox style="mso-next-textbox:#_x0000_s1129">
              <w:txbxContent>
                <w:p w:rsidR="00864954" w:rsidRDefault="00864954">
                  <w:pPr>
                    <w:rPr>
                      <w:sz w:val="11"/>
                      <w:szCs w:val="11"/>
                    </w:rPr>
                  </w:pPr>
                  <w:r>
                    <w:rPr>
                      <w:rFonts w:hint="eastAsia"/>
                      <w:sz w:val="11"/>
                      <w:szCs w:val="11"/>
                    </w:rPr>
                    <w:t>当事人</w:t>
                  </w:r>
                  <w:r>
                    <w:rPr>
                      <w:sz w:val="11"/>
                      <w:szCs w:val="11"/>
                    </w:rPr>
                    <w:t>3</w:t>
                  </w:r>
                  <w:r>
                    <w:rPr>
                      <w:rFonts w:hint="eastAsia"/>
                      <w:sz w:val="11"/>
                      <w:szCs w:val="11"/>
                    </w:rPr>
                    <w:t>日内提出听证</w:t>
                  </w:r>
                </w:p>
              </w:txbxContent>
            </v:textbox>
          </v:shape>
        </w:pict>
      </w:r>
      <w:r>
        <w:rPr>
          <w:noProof/>
        </w:rPr>
        <w:pict>
          <v:shape id="_x0000_s1130" type="#_x0000_t32" style="position:absolute;left:0;text-align:left;margin-left:463.5pt;margin-top:52pt;width:.2pt;height:14.25pt;flip:x;z-index:251684352;mso-position-horizontal-relative:text;mso-position-vertical-relative:text" strokecolor="#41719c" strokeweight="1pt">
            <v:stroke dashstyle="1 1" endarrow="block" joinstyle="miter"/>
          </v:shape>
        </w:pict>
      </w:r>
      <w:r>
        <w:rPr>
          <w:noProof/>
        </w:rPr>
        <w:pict>
          <v:shape id="_x0000_s1131" type="#_x0000_t32" style="position:absolute;left:0;text-align:left;margin-left:344.25pt;margin-top:49.75pt;width:.2pt;height:14.25pt;flip:x;z-index:251685376;mso-position-horizontal-relative:text;mso-position-vertical-relative:text" strokecolor="#41719c" strokeweight="1pt">
            <v:stroke dashstyle="1 1" endarrow="block" joinstyle="miter"/>
          </v:shape>
        </w:pict>
      </w:r>
      <w:r>
        <w:rPr>
          <w:noProof/>
        </w:rPr>
        <w:pict>
          <v:line id="_x0000_s1132" style="position:absolute;left:0;text-align:left;z-index:251683328;mso-position-horizontal-relative:text;mso-position-vertical-relative:page" from="345.35pt,311.75pt" to="464.95pt,312.45pt" strokecolor="#5b9bd5" strokeweight=".5pt">
            <v:stroke dashstyle="1 1" joinstyle="miter"/>
            <w10:wrap type="topAndBottom" anchory="page"/>
          </v:line>
        </w:pict>
      </w:r>
      <w:r>
        <w:rPr>
          <w:noProof/>
        </w:rPr>
        <w:pict>
          <v:shape id="_x0000_s1133" type="#_x0000_t32" style="position:absolute;left:0;text-align:left;margin-left:404.75pt;margin-top:37pt;width:.2pt;height:14.25pt;flip:x;z-index:-251702784;mso-position-horizontal-relative:text;mso-position-vertical-relative:text" strokecolor="#41719c" strokeweight="1pt">
            <v:stroke dashstyle="1 1" joinstyle="miter"/>
          </v:shape>
        </w:pict>
      </w:r>
      <w:r>
        <w:rPr>
          <w:noProof/>
        </w:rPr>
        <w:pict>
          <v:line id="_x0000_s1134" style="position:absolute;left:0;text-align:left;z-index:-251710976;mso-position-horizontal-relative:text;mso-position-vertical-relative:page" from="126.5pt,280.9pt" to="246.1pt,281.6pt" strokecolor="#5b9bd5" strokeweight=".5pt">
            <v:stroke dashstyle="1 1" joinstyle="miter"/>
            <w10:wrap type="topAndBottom" anchory="page"/>
          </v:line>
        </w:pict>
      </w:r>
      <w:r>
        <w:rPr>
          <w:noProof/>
        </w:rPr>
        <w:pict>
          <v:line id="_x0000_s1135" style="position:absolute;left:0;text-align:left;flip:y;z-index:-251704832;mso-position-horizontal-relative:text;mso-position-vertical-relative:text" from="169.25pt,301.7pt" to="787.35pt,306.2pt" strokecolor="#5b9bd5" strokeweight="1.25pt">
            <v:stroke joinstyle="miter"/>
          </v:line>
        </w:pict>
      </w:r>
      <w:r>
        <w:rPr>
          <w:noProof/>
        </w:rPr>
        <w:pict>
          <v:line id="_x0000_s1136" style="position:absolute;left:0;text-align:left;flip:x;z-index:-251705856;mso-position-horizontal-relative:text;mso-position-vertical-relative:text" from="168.5pt,201.85pt" to="169.4pt,306.95pt" strokecolor="#5b9bd5" strokeweight="1.5pt">
            <v:stroke joinstyle="miter"/>
          </v:line>
        </w:pict>
      </w:r>
      <w:r>
        <w:rPr>
          <w:noProof/>
        </w:rPr>
        <w:pict>
          <v:shape id="_x0000_s1137" type="#_x0000_t32" style="position:absolute;left:0;text-align:left;margin-left:168.75pt;margin-top:143.15pt;width:.05pt;height:35.2pt;flip:x;z-index:251681280;mso-position-horizontal-relative:text;mso-position-vertical-relative:text" strokecolor="#5b9bd5" strokeweight="1.5pt">
            <v:stroke endarrow="open" joinstyle="miter"/>
          </v:shape>
        </w:pict>
      </w:r>
      <w:r>
        <w:rPr>
          <w:noProof/>
        </w:rPr>
        <w:pict>
          <v:shape id="_x0000_s1138" type="#_x0000_t202" style="position:absolute;left:0;text-align:left;margin-left:130.95pt;margin-top:123.9pt;width:76.35pt;height:21.35pt;z-index:251682304;mso-position-horizontal-relative:text;mso-position-vertical-relative:text" strokecolor="#5b9bd5" strokeweight=".5pt">
            <v:textbox style="mso-next-textbox:#_x0000_s1138">
              <w:txbxContent>
                <w:p w:rsidR="00864954" w:rsidRDefault="00864954">
                  <w:pPr>
                    <w:rPr>
                      <w:sz w:val="11"/>
                      <w:szCs w:val="11"/>
                    </w:rPr>
                  </w:pPr>
                  <w:r>
                    <w:rPr>
                      <w:rFonts w:hint="eastAsia"/>
                      <w:sz w:val="11"/>
                      <w:szCs w:val="11"/>
                    </w:rPr>
                    <w:t>质监部门主要负责人批准</w:t>
                  </w:r>
                </w:p>
              </w:txbxContent>
            </v:textbox>
          </v:shape>
        </w:pict>
      </w:r>
      <w:r>
        <w:rPr>
          <w:noProof/>
        </w:rPr>
        <w:pict>
          <v:shape id="_x0000_s1139" type="#_x0000_t202" style="position:absolute;left:0;text-align:left;margin-left:131.2pt;margin-top:180.5pt;width:76.35pt;height:21.35pt;z-index:-251706880;mso-position-horizontal-relative:text;mso-position-vertical-relative:text" strokecolor="#5b9bd5" strokeweight=".5pt">
            <v:textbox style="mso-next-textbox:#_x0000_s1139">
              <w:txbxContent>
                <w:p w:rsidR="00864954" w:rsidRDefault="00864954">
                  <w:pPr>
                    <w:jc w:val="center"/>
                    <w:rPr>
                      <w:sz w:val="11"/>
                      <w:szCs w:val="11"/>
                    </w:rPr>
                  </w:pPr>
                  <w:r>
                    <w:rPr>
                      <w:rFonts w:hint="eastAsia"/>
                      <w:sz w:val="11"/>
                      <w:szCs w:val="11"/>
                    </w:rPr>
                    <w:t>终止调查</w:t>
                  </w:r>
                </w:p>
              </w:txbxContent>
            </v:textbox>
          </v:shape>
        </w:pict>
      </w:r>
      <w:r>
        <w:rPr>
          <w:noProof/>
        </w:rPr>
        <w:pict>
          <v:shape id="_x0000_s1140" type="#_x0000_t32" style="position:absolute;left:0;text-align:left;margin-left:169.65pt;margin-top:85.7pt;width:.05pt;height:35.2pt;flip:x;z-index:-251707904;mso-position-horizontal-relative:text;mso-position-vertical-relative:text" strokecolor="#5b9bd5" strokeweight="1.5pt">
            <v:stroke endarrow="open" joinstyle="miter"/>
          </v:shape>
        </w:pict>
      </w:r>
      <w:r>
        <w:rPr>
          <w:noProof/>
        </w:rPr>
        <w:pict>
          <v:shape id="_x0000_s1141" type="#_x0000_t202" style="position:absolute;left:0;text-align:left;margin-left:118.25pt;margin-top:53.5pt;width:108.35pt;height:30.8pt;z-index:-251708928;mso-position-horizontal-relative:text;mso-position-vertical-relative:text" strokecolor="#5b9bd5" strokeweight=".5pt">
            <v:textbox style="mso-next-textbox:#_x0000_s1141">
              <w:txbxContent>
                <w:p w:rsidR="00864954" w:rsidRDefault="00864954">
                  <w:pPr>
                    <w:adjustRightInd w:val="0"/>
                    <w:snapToGrid w:val="0"/>
                    <w:spacing w:line="240" w:lineRule="exact"/>
                    <w:rPr>
                      <w:sz w:val="11"/>
                      <w:szCs w:val="11"/>
                    </w:rPr>
                  </w:pPr>
                  <w:r>
                    <w:rPr>
                      <w:rFonts w:hint="eastAsia"/>
                      <w:sz w:val="11"/>
                      <w:szCs w:val="11"/>
                    </w:rPr>
                    <w:t>自然人死亡或法人、其他组织终止且无权利义务承受人</w:t>
                  </w:r>
                </w:p>
              </w:txbxContent>
            </v:textbox>
          </v:shape>
        </w:pict>
      </w:r>
      <w:r>
        <w:rPr>
          <w:noProof/>
        </w:rPr>
        <w:pict>
          <v:shape id="_x0000_s1142" type="#_x0000_t202" style="position:absolute;left:0;text-align:left;margin-left:468.5pt;margin-top:9.2pt;width:42.55pt;height:30.35pt;z-index:251679232;mso-position-horizontal-relative:text;mso-position-vertical-relative:text" strokecolor="#5b9bd5" strokeweight=".5pt">
            <v:textbox style="mso-next-textbox:#_x0000_s1142">
              <w:txbxContent>
                <w:p w:rsidR="00864954" w:rsidRDefault="00864954">
                  <w:pPr>
                    <w:adjustRightInd w:val="0"/>
                    <w:snapToGrid w:val="0"/>
                    <w:spacing w:line="200" w:lineRule="exact"/>
                    <w:rPr>
                      <w:sz w:val="11"/>
                      <w:szCs w:val="11"/>
                    </w:rPr>
                  </w:pPr>
                  <w:r>
                    <w:rPr>
                      <w:rFonts w:hint="eastAsia"/>
                      <w:sz w:val="11"/>
                      <w:szCs w:val="11"/>
                    </w:rPr>
                    <w:t>案审会主任委员批准</w:t>
                  </w:r>
                  <w:r>
                    <w:rPr>
                      <w:sz w:val="11"/>
                      <w:szCs w:val="11"/>
                    </w:rPr>
                    <w:t xml:space="preserve">  </w:t>
                  </w:r>
                </w:p>
              </w:txbxContent>
            </v:textbox>
          </v:shape>
        </w:pict>
      </w:r>
      <w:r>
        <w:rPr>
          <w:noProof/>
        </w:rPr>
        <w:pict>
          <v:shape id="_x0000_s1143" type="#_x0000_t32" style="position:absolute;left:0;text-align:left;margin-left:170.3pt;margin-top:2.25pt;width:.25pt;height:47.4pt;z-index:-251713024;mso-position-horizontal-relative:text;mso-position-vertical-relative:text" strokecolor="#41719c" strokeweight="1pt">
            <v:stroke dashstyle="1 1" endarrow="block" joinstyle="miter"/>
          </v:shape>
        </w:pict>
      </w:r>
      <w:r>
        <w:rPr>
          <w:noProof/>
        </w:rPr>
        <w:pict>
          <v:shape id="_x0000_s1144" type="#_x0000_t32" style="position:absolute;left:0;text-align:left;margin-left:579.5pt;margin-top:24.1pt;width:16.2pt;height:0;z-index:251690496;mso-position-horizontal-relative:text;mso-position-vertical-relative:text" strokecolor="#5b9bd5" strokeweight="1.5pt">
            <v:stroke endarrow="open" joinstyle="miter"/>
          </v:shape>
        </w:pict>
      </w:r>
      <w:r>
        <w:rPr>
          <w:noProof/>
        </w:rPr>
        <w:pict>
          <v:shape id="_x0000_s1145" type="#_x0000_t202" style="position:absolute;left:0;text-align:left;margin-left:529.6pt;margin-top:12.65pt;width:48.05pt;height:20.65pt;z-index:251688448;mso-position-horizontal-relative:text;mso-position-vertical-relative:text" strokecolor="#5b9bd5" strokeweight=".5pt">
            <v:textbox style="mso-next-textbox:#_x0000_s1145">
              <w:txbxContent>
                <w:p w:rsidR="00864954" w:rsidRDefault="00864954">
                  <w:pPr>
                    <w:rPr>
                      <w:sz w:val="11"/>
                      <w:szCs w:val="11"/>
                    </w:rPr>
                  </w:pPr>
                  <w:r>
                    <w:rPr>
                      <w:rFonts w:hint="eastAsia"/>
                      <w:sz w:val="11"/>
                      <w:szCs w:val="11"/>
                    </w:rPr>
                    <w:t>行政处罚决定</w:t>
                  </w:r>
                  <w:r>
                    <w:rPr>
                      <w:sz w:val="11"/>
                      <w:szCs w:val="11"/>
                    </w:rPr>
                    <w:t xml:space="preserve">  </w:t>
                  </w:r>
                </w:p>
              </w:txbxContent>
            </v:textbox>
          </v:shape>
        </w:pict>
      </w:r>
      <w:r>
        <w:rPr>
          <w:noProof/>
        </w:rPr>
        <w:pict>
          <v:shape id="_x0000_s1146" type="#_x0000_t32" style="position:absolute;left:0;text-align:left;margin-left:513.65pt;margin-top:26.75pt;width:16.2pt;height:0;z-index:251687424;mso-position-horizontal-relative:text;mso-position-vertical-relative:text" strokecolor="#5b9bd5" strokeweight="1.5pt">
            <v:stroke endarrow="open" joinstyle="miter"/>
          </v:shape>
        </w:pict>
      </w:r>
      <w:r>
        <w:rPr>
          <w:noProof/>
        </w:rPr>
        <w:pict>
          <v:shape id="_x0000_s1147" type="#_x0000_t32" style="position:absolute;left:0;text-align:left;margin-left:616.95pt;margin-top:14.8pt;width:158.35pt;height:.1pt;z-index:251697664;mso-position-horizontal-relative:text;mso-position-vertical-relative:text" strokecolor="#5b9bd5" strokeweight="1.5pt">
            <v:stroke endarrow="open" joinstyle="miter"/>
          </v:shape>
        </w:pict>
      </w:r>
      <w:r>
        <w:t xml:space="preserve">        </w:t>
      </w:r>
      <w:r>
        <w:rPr>
          <w:noProof/>
        </w:rPr>
        <w:pict>
          <v:shape id="_x0000_s1148" type="#_x0000_t202" style="position:absolute;left:0;text-align:left;margin-left:0;margin-top:0;width:2in;height:2in;z-index:-251693568;mso-wrap-style:none;mso-position-horizontal-relative:text;mso-position-vertical-relative:text" filled="f" stroked="f" strokeweight=".5pt">
            <v:textbox style="mso-next-textbox:#_x0000_s1148;mso-fit-shape-to-text:t">
              <w:txbxContent>
                <w:p w:rsidR="00864954" w:rsidRPr="001B1AB3" w:rsidRDefault="00864954">
                  <w:pPr>
                    <w:rPr>
                      <w:b/>
                      <w:color w:val="000000"/>
                      <w:sz w:val="72"/>
                    </w:rPr>
                  </w:pPr>
                </w:p>
              </w:txbxContent>
            </v:textbox>
          </v:shape>
        </w:pict>
      </w:r>
      <w:r>
        <w:t xml:space="preserve">     </w:t>
      </w:r>
      <w:r>
        <w:rPr>
          <w:rFonts w:hint="eastAsia"/>
          <w:sz w:val="10"/>
          <w:szCs w:val="10"/>
        </w:rPr>
        <w:t>当事人无异议</w:t>
      </w:r>
      <w:r>
        <w:rPr>
          <w:sz w:val="10"/>
          <w:szCs w:val="10"/>
        </w:rPr>
        <w:t xml:space="preserve">                                                                     </w:t>
      </w:r>
    </w:p>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Pr="00BF6D2B" w:rsidRDefault="00864954" w:rsidP="00BF6D2B"/>
    <w:p w:rsidR="00864954" w:rsidRDefault="00864954" w:rsidP="00BF6D2B">
      <w:pPr>
        <w:tabs>
          <w:tab w:val="left" w:pos="2080"/>
        </w:tabs>
      </w:pPr>
      <w:r>
        <w:tab/>
      </w:r>
    </w:p>
    <w:p w:rsidR="00864954" w:rsidRDefault="00864954" w:rsidP="00BF6D2B">
      <w:pPr>
        <w:tabs>
          <w:tab w:val="left" w:pos="2080"/>
        </w:tabs>
      </w:pPr>
    </w:p>
    <w:p w:rsidR="00864954" w:rsidRDefault="00864954" w:rsidP="00BF6D2B">
      <w:pPr>
        <w:tabs>
          <w:tab w:val="left" w:pos="2080"/>
        </w:tabs>
      </w:pPr>
    </w:p>
    <w:p w:rsidR="00864954" w:rsidRDefault="00864954" w:rsidP="00BF6D2B">
      <w:pPr>
        <w:tabs>
          <w:tab w:val="left" w:pos="2080"/>
        </w:tabs>
        <w:sectPr w:rsidR="00864954" w:rsidSect="001E598E">
          <w:pgSz w:w="16838" w:h="11906" w:orient="landscape"/>
          <w:pgMar w:top="540" w:right="58" w:bottom="0" w:left="0" w:header="851" w:footer="992" w:gutter="0"/>
          <w:cols w:space="425"/>
          <w:docGrid w:type="lines" w:linePitch="312"/>
        </w:sectPr>
      </w:pPr>
    </w:p>
    <w:p w:rsidR="00864954" w:rsidRDefault="00864954" w:rsidP="00BF6D2B">
      <w:pPr>
        <w:jc w:val="center"/>
        <w:rPr>
          <w:sz w:val="44"/>
          <w:szCs w:val="44"/>
        </w:rPr>
      </w:pPr>
      <w:r>
        <w:rPr>
          <w:rFonts w:hint="eastAsia"/>
          <w:sz w:val="44"/>
          <w:szCs w:val="44"/>
        </w:rPr>
        <w:t>质量技术监督行政处罚一般程序流程说明</w:t>
      </w:r>
    </w:p>
    <w:p w:rsidR="00864954" w:rsidRDefault="00864954" w:rsidP="00BF6D2B">
      <w:pPr>
        <w:rPr>
          <w:sz w:val="44"/>
          <w:szCs w:val="44"/>
        </w:rPr>
      </w:pPr>
    </w:p>
    <w:p w:rsidR="00864954" w:rsidRDefault="00864954" w:rsidP="00BF6D2B">
      <w:pPr>
        <w:numPr>
          <w:ilvl w:val="0"/>
          <w:numId w:val="1"/>
        </w:numPr>
        <w:rPr>
          <w:rFonts w:ascii="仿宋" w:eastAsia="仿宋" w:hAnsi="仿宋" w:cs="仿宋"/>
          <w:sz w:val="32"/>
          <w:szCs w:val="32"/>
        </w:rPr>
      </w:pPr>
      <w:r>
        <w:rPr>
          <w:rFonts w:ascii="仿宋" w:eastAsia="仿宋" w:hAnsi="仿宋" w:cs="仿宋" w:hint="eastAsia"/>
          <w:sz w:val="32"/>
          <w:szCs w:val="32"/>
        </w:rPr>
        <w:t>质量技术监督部门对依据监督检查职权或者通过举报、投诉、其他部门移送、上级部门交办等途径发现的违法行为线索，应当自发现之日起</w:t>
      </w:r>
      <w:r>
        <w:rPr>
          <w:rFonts w:ascii="仿宋" w:eastAsia="仿宋" w:hAnsi="仿宋" w:cs="仿宋"/>
          <w:sz w:val="32"/>
          <w:szCs w:val="32"/>
        </w:rPr>
        <w:t>15</w:t>
      </w:r>
      <w:r>
        <w:rPr>
          <w:rFonts w:ascii="仿宋" w:eastAsia="仿宋" w:hAnsi="仿宋" w:cs="仿宋" w:hint="eastAsia"/>
          <w:sz w:val="32"/>
          <w:szCs w:val="32"/>
        </w:rPr>
        <w:t>日内组织核查，并报请质量技术监督部门负责人批准决定是否立案。</w:t>
      </w:r>
    </w:p>
    <w:p w:rsidR="00864954" w:rsidRDefault="00864954" w:rsidP="00BF6D2B">
      <w:pPr>
        <w:numPr>
          <w:ilvl w:val="0"/>
          <w:numId w:val="1"/>
        </w:numPr>
        <w:rPr>
          <w:rFonts w:ascii="仿宋" w:eastAsia="仿宋" w:hAnsi="仿宋" w:cs="仿宋"/>
          <w:sz w:val="32"/>
          <w:szCs w:val="32"/>
        </w:rPr>
      </w:pPr>
      <w:r>
        <w:rPr>
          <w:rFonts w:ascii="仿宋" w:eastAsia="仿宋" w:hAnsi="仿宋" w:cs="仿宋" w:hint="eastAsia"/>
          <w:sz w:val="32"/>
          <w:szCs w:val="32"/>
        </w:rPr>
        <w:t>案件承办人员对案件进行全面调查，收集认定案件事实的证据。</w:t>
      </w:r>
    </w:p>
    <w:p w:rsidR="00864954" w:rsidRDefault="00864954" w:rsidP="00BF6D2B">
      <w:pPr>
        <w:rPr>
          <w:rFonts w:ascii="仿宋" w:eastAsia="仿宋" w:hAnsi="仿宋" w:cs="仿宋"/>
          <w:sz w:val="32"/>
          <w:szCs w:val="32"/>
        </w:rPr>
      </w:pPr>
      <w:r>
        <w:rPr>
          <w:rFonts w:ascii="仿宋" w:eastAsia="仿宋" w:hAnsi="仿宋" w:cs="仿宋"/>
          <w:sz w:val="32"/>
          <w:szCs w:val="32"/>
        </w:rPr>
        <w:t>2.1</w:t>
      </w:r>
      <w:r>
        <w:rPr>
          <w:rFonts w:ascii="仿宋" w:eastAsia="仿宋" w:hAnsi="仿宋" w:cs="仿宋" w:hint="eastAsia"/>
          <w:sz w:val="32"/>
          <w:szCs w:val="32"/>
        </w:rPr>
        <w:t>在证据可能灭失或者以后难以取得的情况下，可以对与涉嫌违法行为有关的证据采取先行登记保存措施，可以依据法律、法规、规章的规定采取查封、扣押、封存等行政强制措施，采取或者解除先行登记保存</w:t>
      </w:r>
      <w:r>
        <w:rPr>
          <w:rFonts w:ascii="仿宋" w:eastAsia="仿宋" w:hAnsi="仿宋" w:cs="仿宋"/>
          <w:sz w:val="32"/>
          <w:szCs w:val="32"/>
        </w:rPr>
        <w:t>/</w:t>
      </w:r>
      <w:r>
        <w:rPr>
          <w:rFonts w:ascii="仿宋" w:eastAsia="仿宋" w:hAnsi="仿宋" w:cs="仿宋" w:hint="eastAsia"/>
          <w:sz w:val="32"/>
          <w:szCs w:val="32"/>
        </w:rPr>
        <w:t>行政强制措施，应当经质量技术监督部门负责人批准。</w:t>
      </w:r>
    </w:p>
    <w:p w:rsidR="00864954" w:rsidRDefault="00864954" w:rsidP="00BF6D2B">
      <w:pPr>
        <w:rPr>
          <w:rFonts w:ascii="仿宋" w:eastAsia="仿宋" w:hAnsi="仿宋" w:cs="仿宋"/>
          <w:sz w:val="32"/>
          <w:szCs w:val="32"/>
        </w:rPr>
      </w:pPr>
      <w:r>
        <w:rPr>
          <w:rFonts w:ascii="黑体" w:eastAsia="黑体" w:hAnsi="黑体" w:cs="黑体"/>
          <w:sz w:val="32"/>
          <w:szCs w:val="32"/>
        </w:rPr>
        <w:t>3.</w:t>
      </w:r>
      <w:r>
        <w:rPr>
          <w:rFonts w:ascii="仿宋" w:eastAsia="仿宋" w:hAnsi="仿宋" w:cs="仿宋" w:hint="eastAsia"/>
          <w:sz w:val="32"/>
          <w:szCs w:val="32"/>
        </w:rPr>
        <w:t>案件承办机构在案件调查终结后，撰写案件调查终结报告并将案件调查终结报告以及案件的全部材料提交案审办进行初审，因案情复杂不能按期作出处理决定的，经质量技术监督部门主要负责人批准，可以延长</w:t>
      </w:r>
      <w:r>
        <w:rPr>
          <w:rFonts w:ascii="仿宋" w:eastAsia="仿宋" w:hAnsi="仿宋" w:cs="仿宋"/>
          <w:sz w:val="32"/>
          <w:szCs w:val="32"/>
        </w:rPr>
        <w:t>30</w:t>
      </w:r>
      <w:r>
        <w:rPr>
          <w:rFonts w:ascii="仿宋" w:eastAsia="仿宋" w:hAnsi="仿宋" w:cs="仿宋" w:hint="eastAsia"/>
          <w:sz w:val="32"/>
          <w:szCs w:val="32"/>
        </w:rPr>
        <w:t>日，案情特别复杂，经延期仍不能作出处理决定的，应当报请上一级质量技术监督部门批准，适当延长办案期限。</w:t>
      </w:r>
    </w:p>
    <w:p w:rsidR="00864954" w:rsidRDefault="00864954" w:rsidP="00BF6D2B">
      <w:pPr>
        <w:rPr>
          <w:rFonts w:ascii="仿宋" w:eastAsia="仿宋" w:hAnsi="仿宋" w:cs="仿宋"/>
          <w:sz w:val="32"/>
          <w:szCs w:val="32"/>
        </w:rPr>
      </w:pPr>
      <w:r>
        <w:rPr>
          <w:rFonts w:ascii="黑体" w:eastAsia="黑体" w:hAnsi="黑体" w:cs="黑体"/>
          <w:sz w:val="32"/>
          <w:szCs w:val="32"/>
        </w:rPr>
        <w:t>4.</w:t>
      </w:r>
      <w:r>
        <w:rPr>
          <w:rFonts w:ascii="仿宋" w:eastAsia="仿宋" w:hAnsi="仿宋" w:cs="仿宋" w:hint="eastAsia"/>
          <w:sz w:val="32"/>
          <w:szCs w:val="32"/>
        </w:rPr>
        <w:t>案审办应当自接到案件材料后五个工作日内，完成对案件的初审工作。</w:t>
      </w:r>
    </w:p>
    <w:p w:rsidR="00864954" w:rsidRDefault="00864954" w:rsidP="00BF6D2B">
      <w:pPr>
        <w:rPr>
          <w:rFonts w:ascii="仿宋" w:eastAsia="仿宋" w:hAnsi="仿宋" w:cs="仿宋"/>
          <w:sz w:val="32"/>
          <w:szCs w:val="32"/>
        </w:rPr>
      </w:pPr>
      <w:r>
        <w:rPr>
          <w:rFonts w:ascii="仿宋" w:eastAsia="仿宋" w:hAnsi="仿宋" w:cs="仿宋"/>
          <w:sz w:val="32"/>
          <w:szCs w:val="32"/>
        </w:rPr>
        <w:t>4.1</w:t>
      </w:r>
      <w:r>
        <w:rPr>
          <w:rFonts w:ascii="仿宋" w:eastAsia="仿宋" w:hAnsi="仿宋" w:cs="仿宋" w:hint="eastAsia"/>
          <w:sz w:val="32"/>
          <w:szCs w:val="32"/>
        </w:rPr>
        <w:t>案审办对案件进行初审后，应当提出初审意见，按照规定报请案审委集体审理；案审办初审时发现案件需要进行补充调查或者案件材料需要补正的，应当向案件承办机构提出补充调查或者补正的建议。</w:t>
      </w:r>
    </w:p>
    <w:p w:rsidR="00864954" w:rsidRDefault="00864954" w:rsidP="00BF6D2B">
      <w:pPr>
        <w:rPr>
          <w:rFonts w:ascii="仿宋" w:eastAsia="仿宋" w:hAnsi="仿宋" w:cs="仿宋"/>
          <w:sz w:val="32"/>
          <w:szCs w:val="32"/>
        </w:rPr>
      </w:pPr>
      <w:r>
        <w:rPr>
          <w:rFonts w:ascii="仿宋" w:eastAsia="仿宋" w:hAnsi="仿宋" w:cs="仿宋"/>
          <w:sz w:val="32"/>
          <w:szCs w:val="32"/>
        </w:rPr>
        <w:t>4.2</w:t>
      </w:r>
      <w:r>
        <w:rPr>
          <w:rFonts w:ascii="仿宋" w:eastAsia="仿宋" w:hAnsi="仿宋" w:cs="仿宋" w:hint="eastAsia"/>
          <w:sz w:val="32"/>
          <w:szCs w:val="32"/>
        </w:rPr>
        <w:t>因涉嫌违法的自然人死亡或者法人、其他组织终止，并且无权利义务承受人等原因，致使调查无法继续进行的，案件承办机构可以报请质量技术监督部门主要负责人批准后，决定终止调查并结案，需报备的，应当在结案后</w:t>
      </w:r>
      <w:r>
        <w:rPr>
          <w:rFonts w:ascii="仿宋" w:eastAsia="仿宋" w:hAnsi="仿宋" w:cs="仿宋"/>
          <w:sz w:val="32"/>
          <w:szCs w:val="32"/>
        </w:rPr>
        <w:t>15</w:t>
      </w:r>
      <w:r>
        <w:rPr>
          <w:rFonts w:ascii="仿宋" w:eastAsia="仿宋" w:hAnsi="仿宋" w:cs="仿宋" w:hint="eastAsia"/>
          <w:sz w:val="32"/>
          <w:szCs w:val="32"/>
        </w:rPr>
        <w:t>日内向上一级质监局或本级政府办理报备。</w:t>
      </w:r>
    </w:p>
    <w:p w:rsidR="00864954" w:rsidRDefault="00864954" w:rsidP="00BF6D2B">
      <w:pPr>
        <w:rPr>
          <w:rFonts w:ascii="仿宋" w:eastAsia="仿宋" w:hAnsi="仿宋" w:cs="仿宋"/>
          <w:sz w:val="32"/>
          <w:szCs w:val="32"/>
        </w:rPr>
      </w:pPr>
      <w:r>
        <w:rPr>
          <w:rFonts w:ascii="黑体" w:eastAsia="黑体" w:hAnsi="黑体" w:cs="黑体"/>
          <w:sz w:val="32"/>
          <w:szCs w:val="32"/>
        </w:rPr>
        <w:t>5.</w:t>
      </w:r>
      <w:r>
        <w:rPr>
          <w:rFonts w:ascii="仿宋" w:eastAsia="仿宋" w:hAnsi="仿宋" w:cs="仿宋" w:hint="eastAsia"/>
          <w:sz w:val="32"/>
          <w:szCs w:val="32"/>
        </w:rPr>
        <w:t>案审委应当对案件进行全面审理并做如下处理：</w:t>
      </w:r>
    </w:p>
    <w:p w:rsidR="00864954" w:rsidRDefault="00864954" w:rsidP="00BF6D2B">
      <w:pPr>
        <w:rPr>
          <w:rFonts w:ascii="仿宋" w:eastAsia="仿宋" w:hAnsi="仿宋" w:cs="仿宋"/>
          <w:sz w:val="32"/>
          <w:szCs w:val="32"/>
        </w:rPr>
      </w:pPr>
      <w:r>
        <w:rPr>
          <w:rFonts w:ascii="仿宋" w:eastAsia="仿宋" w:hAnsi="仿宋" w:cs="仿宋"/>
          <w:sz w:val="32"/>
          <w:szCs w:val="32"/>
        </w:rPr>
        <w:t>5.1</w:t>
      </w:r>
      <w:r>
        <w:rPr>
          <w:rFonts w:ascii="仿宋" w:eastAsia="仿宋" w:hAnsi="仿宋" w:cs="仿宋" w:hint="eastAsia"/>
          <w:sz w:val="32"/>
          <w:szCs w:val="32"/>
        </w:rPr>
        <w:t>对违法行为依法不属于本部门管辖或者依法需要追究刑事责任的，作出案件移送决定，报请质量技术监督部门主要负责人批准移送有管辖权的部门或者司法机关后再经质量技术监督部门负责人批准，予以结案，需报备的，应当在结案后</w:t>
      </w:r>
      <w:r>
        <w:rPr>
          <w:rFonts w:ascii="仿宋" w:eastAsia="仿宋" w:hAnsi="仿宋" w:cs="仿宋"/>
          <w:sz w:val="32"/>
          <w:szCs w:val="32"/>
        </w:rPr>
        <w:t>15</w:t>
      </w:r>
      <w:r>
        <w:rPr>
          <w:rFonts w:ascii="仿宋" w:eastAsia="仿宋" w:hAnsi="仿宋" w:cs="仿宋" w:hint="eastAsia"/>
          <w:sz w:val="32"/>
          <w:szCs w:val="32"/>
        </w:rPr>
        <w:t>日内向上一级质监局或本级政府办理报备。</w:t>
      </w:r>
    </w:p>
    <w:p w:rsidR="00864954" w:rsidRDefault="00864954" w:rsidP="00BF6D2B">
      <w:pPr>
        <w:rPr>
          <w:rFonts w:ascii="仿宋" w:eastAsia="仿宋" w:hAnsi="仿宋" w:cs="仿宋"/>
          <w:sz w:val="32"/>
          <w:szCs w:val="32"/>
        </w:rPr>
      </w:pPr>
      <w:r>
        <w:rPr>
          <w:rFonts w:ascii="仿宋" w:eastAsia="仿宋" w:hAnsi="仿宋" w:cs="仿宋"/>
          <w:sz w:val="32"/>
          <w:szCs w:val="32"/>
        </w:rPr>
        <w:t>5.2</w:t>
      </w:r>
      <w:r>
        <w:rPr>
          <w:rFonts w:ascii="仿宋" w:eastAsia="仿宋" w:hAnsi="仿宋" w:cs="仿宋" w:hint="eastAsia"/>
          <w:sz w:val="32"/>
          <w:szCs w:val="32"/>
        </w:rPr>
        <w:t>对违法事实不能成立、违法行为已过追诉时效或者违法主体依法不予行政处罚的，对违法行为轻微并及时纠正，没有造成危害后果的，不予行政处罚，作出不予行政处罚决定报请质量技术监督部门主要负责人批准，决定书自作出之日起</w:t>
      </w:r>
      <w:r>
        <w:rPr>
          <w:rFonts w:ascii="仿宋" w:eastAsia="仿宋" w:hAnsi="仿宋" w:cs="仿宋"/>
          <w:sz w:val="32"/>
          <w:szCs w:val="32"/>
        </w:rPr>
        <w:t>7</w:t>
      </w:r>
      <w:r>
        <w:rPr>
          <w:rFonts w:ascii="仿宋" w:eastAsia="仿宋" w:hAnsi="仿宋" w:cs="仿宋" w:hint="eastAsia"/>
          <w:sz w:val="32"/>
          <w:szCs w:val="32"/>
        </w:rPr>
        <w:t>日内按规定送达当事人后再经质量技术监督部门负责人批准，予以结案，需报备的，应当在结案后</w:t>
      </w:r>
      <w:r>
        <w:rPr>
          <w:rFonts w:ascii="仿宋" w:eastAsia="仿宋" w:hAnsi="仿宋" w:cs="仿宋"/>
          <w:sz w:val="32"/>
          <w:szCs w:val="32"/>
        </w:rPr>
        <w:t>15</w:t>
      </w:r>
      <w:r>
        <w:rPr>
          <w:rFonts w:ascii="仿宋" w:eastAsia="仿宋" w:hAnsi="仿宋" w:cs="仿宋" w:hint="eastAsia"/>
          <w:sz w:val="32"/>
          <w:szCs w:val="32"/>
        </w:rPr>
        <w:t>日内向上一级质监局或本级政府办理报备。</w:t>
      </w:r>
    </w:p>
    <w:p w:rsidR="00864954" w:rsidRDefault="00864954" w:rsidP="00BF6D2B">
      <w:pPr>
        <w:rPr>
          <w:rFonts w:ascii="仿宋" w:eastAsia="仿宋" w:hAnsi="仿宋" w:cs="仿宋"/>
          <w:sz w:val="32"/>
          <w:szCs w:val="32"/>
        </w:rPr>
      </w:pPr>
      <w:r>
        <w:rPr>
          <w:rFonts w:ascii="仿宋" w:eastAsia="仿宋" w:hAnsi="仿宋" w:cs="仿宋"/>
          <w:sz w:val="32"/>
          <w:szCs w:val="32"/>
        </w:rPr>
        <w:t>5.3</w:t>
      </w:r>
      <w:r>
        <w:rPr>
          <w:rFonts w:ascii="仿宋" w:eastAsia="仿宋" w:hAnsi="仿宋" w:cs="仿宋" w:hint="eastAsia"/>
          <w:sz w:val="32"/>
          <w:szCs w:val="32"/>
        </w:rPr>
        <w:t>对违法行为需要由其他部门进一步处理的，报请质量技术监督部门主要负责人批准，向有关部门提出行政建议。</w:t>
      </w:r>
    </w:p>
    <w:p w:rsidR="00864954" w:rsidRDefault="00864954" w:rsidP="00BF6D2B">
      <w:pPr>
        <w:rPr>
          <w:rFonts w:ascii="黑体" w:eastAsia="黑体" w:hAnsi="黑体" w:cs="黑体"/>
          <w:sz w:val="32"/>
          <w:szCs w:val="32"/>
        </w:rPr>
      </w:pPr>
      <w:r>
        <w:rPr>
          <w:rFonts w:ascii="仿宋" w:eastAsia="仿宋" w:hAnsi="仿宋" w:cs="仿宋"/>
          <w:sz w:val="32"/>
          <w:szCs w:val="32"/>
        </w:rPr>
        <w:t>5.4</w:t>
      </w:r>
      <w:r>
        <w:rPr>
          <w:rFonts w:ascii="黑体" w:eastAsia="黑体" w:hAnsi="黑体" w:cs="黑体" w:hint="eastAsia"/>
          <w:sz w:val="32"/>
          <w:szCs w:val="32"/>
        </w:rPr>
        <w:t>行政处罚决定的送达及履行</w:t>
      </w:r>
    </w:p>
    <w:p w:rsidR="00864954" w:rsidRDefault="00864954" w:rsidP="00BF6D2B">
      <w:pPr>
        <w:rPr>
          <w:rFonts w:ascii="仿宋" w:eastAsia="仿宋" w:hAnsi="仿宋" w:cs="仿宋"/>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sz w:val="32"/>
            <w:szCs w:val="32"/>
          </w:rPr>
          <w:t>5.4.1</w:t>
        </w:r>
      </w:smartTag>
      <w:r>
        <w:rPr>
          <w:rFonts w:ascii="仿宋" w:eastAsia="仿宋" w:hAnsi="仿宋" w:cs="仿宋" w:hint="eastAsia"/>
          <w:sz w:val="32"/>
          <w:szCs w:val="32"/>
        </w:rPr>
        <w:t>对违法事实清楚、证据确凿的，依法给予行政处罚的，根据案审委提出的处理意见制作并送达行政处罚告知书，告知当事人违法事实、处罚依据及理由、处罚种类及幅度，并告知当事人依法享有的陈述、申辩、听证等权利。</w:t>
      </w:r>
    </w:p>
    <w:p w:rsidR="00864954" w:rsidRDefault="00864954" w:rsidP="00BF6D2B">
      <w:pPr>
        <w:rPr>
          <w:rFonts w:ascii="仿宋" w:eastAsia="仿宋" w:hAnsi="仿宋" w:cs="仿宋"/>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sz w:val="32"/>
            <w:szCs w:val="32"/>
          </w:rPr>
          <w:t>5.4.1</w:t>
        </w:r>
      </w:smartTag>
      <w:r>
        <w:rPr>
          <w:rFonts w:ascii="仿宋" w:eastAsia="仿宋" w:hAnsi="仿宋" w:cs="仿宋"/>
          <w:sz w:val="32"/>
          <w:szCs w:val="32"/>
        </w:rPr>
        <w:t>.1</w:t>
      </w:r>
      <w:r>
        <w:rPr>
          <w:rFonts w:ascii="仿宋" w:eastAsia="仿宋" w:hAnsi="仿宋" w:cs="仿宋" w:hint="eastAsia"/>
          <w:sz w:val="32"/>
          <w:szCs w:val="32"/>
        </w:rPr>
        <w:t>当事人对行政处罚告知内容未提出陈述、申辩或者在法定期限内未要求听证的，及时制作行政处罚决定书，报请案审委主任委员批准后作出行政处罚决定，在</w:t>
      </w:r>
      <w:r>
        <w:rPr>
          <w:rFonts w:ascii="仿宋" w:eastAsia="仿宋" w:hAnsi="仿宋" w:cs="仿宋"/>
          <w:sz w:val="32"/>
          <w:szCs w:val="32"/>
        </w:rPr>
        <w:t>7</w:t>
      </w:r>
      <w:r>
        <w:rPr>
          <w:rFonts w:ascii="仿宋" w:eastAsia="仿宋" w:hAnsi="仿宋" w:cs="仿宋" w:hint="eastAsia"/>
          <w:sz w:val="32"/>
          <w:szCs w:val="32"/>
        </w:rPr>
        <w:t>日内送达并执行。</w:t>
      </w:r>
    </w:p>
    <w:p w:rsidR="00864954" w:rsidRDefault="00864954" w:rsidP="00BF6D2B">
      <w:pPr>
        <w:rPr>
          <w:rFonts w:ascii="仿宋" w:eastAsia="仿宋" w:hAnsi="仿宋" w:cs="仿宋"/>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sz w:val="32"/>
            <w:szCs w:val="32"/>
          </w:rPr>
          <w:t>5.4.1</w:t>
        </w:r>
      </w:smartTag>
      <w:r>
        <w:rPr>
          <w:rFonts w:ascii="仿宋" w:eastAsia="仿宋" w:hAnsi="仿宋" w:cs="仿宋"/>
          <w:sz w:val="32"/>
          <w:szCs w:val="32"/>
        </w:rPr>
        <w:t>.2</w:t>
      </w:r>
      <w:r>
        <w:rPr>
          <w:rFonts w:ascii="仿宋" w:eastAsia="仿宋" w:hAnsi="仿宋" w:cs="仿宋" w:hint="eastAsia"/>
          <w:sz w:val="32"/>
          <w:szCs w:val="32"/>
        </w:rPr>
        <w:t>当事人在</w:t>
      </w:r>
      <w:r>
        <w:rPr>
          <w:rFonts w:ascii="仿宋" w:eastAsia="仿宋" w:hAnsi="仿宋" w:cs="仿宋"/>
          <w:sz w:val="32"/>
          <w:szCs w:val="32"/>
        </w:rPr>
        <w:t>3</w:t>
      </w:r>
      <w:r>
        <w:rPr>
          <w:rFonts w:ascii="仿宋" w:eastAsia="仿宋" w:hAnsi="仿宋" w:cs="仿宋" w:hint="eastAsia"/>
          <w:sz w:val="32"/>
          <w:szCs w:val="32"/>
        </w:rPr>
        <w:t>日内提出听证申请的，质量技术监督部门应当自接到听证申请之日起</w:t>
      </w:r>
      <w:r>
        <w:rPr>
          <w:rFonts w:ascii="仿宋" w:eastAsia="仿宋" w:hAnsi="仿宋" w:cs="仿宋"/>
          <w:sz w:val="32"/>
          <w:szCs w:val="32"/>
        </w:rPr>
        <w:t>15</w:t>
      </w:r>
      <w:r>
        <w:rPr>
          <w:rFonts w:ascii="仿宋" w:eastAsia="仿宋" w:hAnsi="仿宋" w:cs="仿宋" w:hint="eastAsia"/>
          <w:sz w:val="32"/>
          <w:szCs w:val="32"/>
        </w:rPr>
        <w:t>日内，案审办组织听证，案审办应将听证笔录和案件有关材料一并提交案审委进行重新审理，案审委改变原认定的违法事实、证据、处罚依据或者处罚种类及幅度的，重新履行行政处罚告知程序，报请质量技术监督部门主要负责人批准后作出行政处罚决定并在</w:t>
      </w:r>
      <w:r>
        <w:rPr>
          <w:rFonts w:ascii="仿宋" w:eastAsia="仿宋" w:hAnsi="仿宋" w:cs="仿宋"/>
          <w:sz w:val="32"/>
          <w:szCs w:val="32"/>
        </w:rPr>
        <w:t>7</w:t>
      </w:r>
      <w:r>
        <w:rPr>
          <w:rFonts w:ascii="仿宋" w:eastAsia="仿宋" w:hAnsi="仿宋" w:cs="仿宋" w:hint="eastAsia"/>
          <w:sz w:val="32"/>
          <w:szCs w:val="32"/>
        </w:rPr>
        <w:t>日内送达当事人，及时制作行政处罚决定书，报请案审委主任委员批准后作出行政处罚决定，在</w:t>
      </w:r>
      <w:r>
        <w:rPr>
          <w:rFonts w:ascii="仿宋" w:eastAsia="仿宋" w:hAnsi="仿宋" w:cs="仿宋"/>
          <w:sz w:val="32"/>
          <w:szCs w:val="32"/>
        </w:rPr>
        <w:t>7</w:t>
      </w:r>
      <w:r>
        <w:rPr>
          <w:rFonts w:ascii="仿宋" w:eastAsia="仿宋" w:hAnsi="仿宋" w:cs="仿宋" w:hint="eastAsia"/>
          <w:sz w:val="32"/>
          <w:szCs w:val="32"/>
        </w:rPr>
        <w:t>日内送达并执行。</w:t>
      </w:r>
    </w:p>
    <w:p w:rsidR="00864954" w:rsidRDefault="00864954" w:rsidP="00BF6D2B">
      <w:pPr>
        <w:rPr>
          <w:rFonts w:ascii="仿宋" w:eastAsia="仿宋" w:hAnsi="仿宋" w:cs="仿宋"/>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sz w:val="32"/>
            <w:szCs w:val="32"/>
          </w:rPr>
          <w:t>5.4.1</w:t>
        </w:r>
      </w:smartTag>
      <w:r>
        <w:rPr>
          <w:rFonts w:ascii="仿宋" w:eastAsia="仿宋" w:hAnsi="仿宋" w:cs="仿宋"/>
          <w:sz w:val="32"/>
          <w:szCs w:val="32"/>
        </w:rPr>
        <w:t>.3</w:t>
      </w:r>
      <w:r>
        <w:rPr>
          <w:rFonts w:ascii="仿宋" w:eastAsia="仿宋" w:hAnsi="仿宋" w:cs="仿宋" w:hint="eastAsia"/>
          <w:sz w:val="32"/>
          <w:szCs w:val="32"/>
        </w:rPr>
        <w:t>当事人提出新的申辩事实及理由的，案审办应当组织进行复核，并报请案审会重新审理，维持原处理意见的，及时制作行政处罚决定书，报请案审委主任委员批准后作出行政处罚决定，在</w:t>
      </w:r>
      <w:r>
        <w:rPr>
          <w:rFonts w:ascii="仿宋" w:eastAsia="仿宋" w:hAnsi="仿宋" w:cs="仿宋"/>
          <w:sz w:val="32"/>
          <w:szCs w:val="32"/>
        </w:rPr>
        <w:t>7</w:t>
      </w:r>
      <w:r>
        <w:rPr>
          <w:rFonts w:ascii="仿宋" w:eastAsia="仿宋" w:hAnsi="仿宋" w:cs="仿宋" w:hint="eastAsia"/>
          <w:sz w:val="32"/>
          <w:szCs w:val="32"/>
        </w:rPr>
        <w:t>日内送达并执行。</w:t>
      </w:r>
    </w:p>
    <w:p w:rsidR="00864954" w:rsidRDefault="00864954" w:rsidP="00BF6D2B">
      <w:pPr>
        <w:rPr>
          <w:rFonts w:ascii="仿宋" w:eastAsia="仿宋" w:hAnsi="仿宋" w:cs="仿宋"/>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sz w:val="32"/>
            <w:szCs w:val="32"/>
          </w:rPr>
          <w:t>5.4.2</w:t>
        </w:r>
      </w:smartTag>
      <w:r>
        <w:rPr>
          <w:rFonts w:ascii="仿宋" w:eastAsia="仿宋" w:hAnsi="仿宋" w:cs="仿宋" w:hint="eastAsia"/>
          <w:sz w:val="32"/>
          <w:szCs w:val="32"/>
        </w:rPr>
        <w:t>行政处罚决定书送达后，当事人自觉履行的，在行政处罚决定执行完毕后，经质量技术监督部门负责人批准，予以结案，需报备的，应当在结案后</w:t>
      </w:r>
      <w:r>
        <w:rPr>
          <w:rFonts w:ascii="仿宋" w:eastAsia="仿宋" w:hAnsi="仿宋" w:cs="仿宋"/>
          <w:sz w:val="32"/>
          <w:szCs w:val="32"/>
        </w:rPr>
        <w:t>15</w:t>
      </w:r>
      <w:r>
        <w:rPr>
          <w:rFonts w:ascii="仿宋" w:eastAsia="仿宋" w:hAnsi="仿宋" w:cs="仿宋" w:hint="eastAsia"/>
          <w:sz w:val="32"/>
          <w:szCs w:val="32"/>
        </w:rPr>
        <w:t>日内向上一级质监局或本级政府办理报备；当事人确有经济困难，需要延期或者分期缴纳罚款的，应当提出书面申请。经质量技术监督部门主要负责人批准，可以延期或者分期缴纳。</w:t>
      </w:r>
    </w:p>
    <w:p w:rsidR="00864954" w:rsidRDefault="00864954" w:rsidP="00BF6D2B">
      <w:pPr>
        <w:rPr>
          <w:rFonts w:ascii="仿宋" w:eastAsia="仿宋" w:hAnsi="仿宋" w:cs="仿宋"/>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sz w:val="32"/>
            <w:szCs w:val="32"/>
          </w:rPr>
          <w:t>5.4.2</w:t>
        </w:r>
      </w:smartTag>
      <w:r>
        <w:rPr>
          <w:rFonts w:ascii="仿宋" w:eastAsia="仿宋" w:hAnsi="仿宋" w:cs="仿宋"/>
          <w:sz w:val="32"/>
          <w:szCs w:val="32"/>
        </w:rPr>
        <w:t>.1</w:t>
      </w:r>
      <w:r>
        <w:rPr>
          <w:rFonts w:ascii="仿宋" w:eastAsia="仿宋" w:hAnsi="仿宋" w:cs="仿宋" w:hint="eastAsia"/>
          <w:sz w:val="32"/>
          <w:szCs w:val="32"/>
        </w:rPr>
        <w:t>行政处罚决定书送达后，当事人对行政处罚决定不服申请行政复议或者提起行政诉讼的，行政处罚不停止执行，法律另有规定的除外。</w:t>
      </w:r>
    </w:p>
    <w:p w:rsidR="00864954" w:rsidRDefault="00864954" w:rsidP="00BF6D2B">
      <w:pPr>
        <w:rPr>
          <w:rFonts w:ascii="仿宋" w:eastAsia="仿宋" w:hAnsi="仿宋" w:cs="仿宋"/>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sz w:val="32"/>
            <w:szCs w:val="32"/>
          </w:rPr>
          <w:t>5.4.2</w:t>
        </w:r>
      </w:smartTag>
      <w:r>
        <w:rPr>
          <w:rFonts w:ascii="仿宋" w:eastAsia="仿宋" w:hAnsi="仿宋" w:cs="仿宋"/>
          <w:sz w:val="32"/>
          <w:szCs w:val="32"/>
        </w:rPr>
        <w:t>.2</w:t>
      </w:r>
      <w:r>
        <w:rPr>
          <w:rFonts w:ascii="仿宋" w:eastAsia="仿宋" w:hAnsi="仿宋" w:cs="仿宋" w:hint="eastAsia"/>
          <w:sz w:val="32"/>
          <w:szCs w:val="32"/>
        </w:rPr>
        <w:t>行政处罚决定书送达后，当事人在法定期限内不申请行政复议或者提起行政诉讼，又不履行行政决定的，经质量技术监督部门主要负责人批准，复议、诉讼期限届满之日起三个月内申请人民法院强制执行，判决或裁定后执行完毕的，经质量技术监督部门负责人批准，予以结案，需报备的，应当在结案后</w:t>
      </w:r>
      <w:r>
        <w:rPr>
          <w:rFonts w:ascii="仿宋" w:eastAsia="仿宋" w:hAnsi="仿宋" w:cs="仿宋"/>
          <w:sz w:val="32"/>
          <w:szCs w:val="32"/>
        </w:rPr>
        <w:t>15</w:t>
      </w:r>
      <w:r>
        <w:rPr>
          <w:rFonts w:ascii="仿宋" w:eastAsia="仿宋" w:hAnsi="仿宋" w:cs="仿宋" w:hint="eastAsia"/>
          <w:sz w:val="32"/>
          <w:szCs w:val="32"/>
        </w:rPr>
        <w:t>日内向上一级质监局或本级政府办理报备。</w:t>
      </w:r>
    </w:p>
    <w:p w:rsidR="00864954" w:rsidRDefault="00864954" w:rsidP="00BF6D2B">
      <w:pPr>
        <w:rPr>
          <w:rFonts w:ascii="仿宋" w:eastAsia="仿宋" w:hAnsi="仿宋" w:cs="仿宋"/>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 w:eastAsia="仿宋" w:hAnsi="仿宋" w:cs="仿宋"/>
            <w:sz w:val="32"/>
            <w:szCs w:val="32"/>
          </w:rPr>
          <w:t>5.4.3</w:t>
        </w:r>
      </w:smartTag>
      <w:r>
        <w:rPr>
          <w:rFonts w:ascii="仿宋" w:eastAsia="仿宋" w:hAnsi="仿宋" w:cs="仿宋" w:hint="eastAsia"/>
          <w:sz w:val="32"/>
          <w:szCs w:val="32"/>
        </w:rPr>
        <w:t>行政处罚决定书送达后，因自然人死亡或者法人、其他组织终止，并且无权利义务承受人等原因，致使行政处罚决定无法继续执行的，案审会集体审理后，经质量技术监督部门主要负责人批准，可以终止行政处罚决定的执行，经质量技术监督部门负责人批准，予以结案，需报备的，应当在结案后</w:t>
      </w:r>
      <w:r>
        <w:rPr>
          <w:rFonts w:ascii="仿宋" w:eastAsia="仿宋" w:hAnsi="仿宋" w:cs="仿宋"/>
          <w:sz w:val="32"/>
          <w:szCs w:val="32"/>
        </w:rPr>
        <w:t>15</w:t>
      </w:r>
      <w:r>
        <w:rPr>
          <w:rFonts w:ascii="仿宋" w:eastAsia="仿宋" w:hAnsi="仿宋" w:cs="仿宋" w:hint="eastAsia"/>
          <w:sz w:val="32"/>
          <w:szCs w:val="32"/>
        </w:rPr>
        <w:t>日内向上一级质监局或本级政府办理报备。</w:t>
      </w:r>
    </w:p>
    <w:p w:rsidR="00864954" w:rsidRPr="00BF6D2B" w:rsidRDefault="00864954" w:rsidP="00BF6D2B">
      <w:pPr>
        <w:tabs>
          <w:tab w:val="left" w:pos="2080"/>
        </w:tabs>
      </w:pPr>
    </w:p>
    <w:sectPr w:rsidR="00864954" w:rsidRPr="00BF6D2B" w:rsidSect="0086495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44FC0"/>
    <w:multiLevelType w:val="singleLevel"/>
    <w:tmpl w:val="5AC44FC0"/>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795E"/>
    <w:rsid w:val="000C2A8F"/>
    <w:rsid w:val="001B1AB3"/>
    <w:rsid w:val="001E598E"/>
    <w:rsid w:val="00864954"/>
    <w:rsid w:val="0091795E"/>
    <w:rsid w:val="00A37C83"/>
    <w:rsid w:val="00BF6D2B"/>
    <w:rsid w:val="00C31D5A"/>
    <w:rsid w:val="00DD53D4"/>
    <w:rsid w:val="010F1BFB"/>
    <w:rsid w:val="02527301"/>
    <w:rsid w:val="05431F8D"/>
    <w:rsid w:val="061E57B1"/>
    <w:rsid w:val="06367636"/>
    <w:rsid w:val="09ED1599"/>
    <w:rsid w:val="0B9D5FB0"/>
    <w:rsid w:val="0CD753FF"/>
    <w:rsid w:val="0D2F4E50"/>
    <w:rsid w:val="0F211077"/>
    <w:rsid w:val="138042C9"/>
    <w:rsid w:val="14D04CCD"/>
    <w:rsid w:val="16424B0C"/>
    <w:rsid w:val="172633CE"/>
    <w:rsid w:val="17987830"/>
    <w:rsid w:val="17B375FE"/>
    <w:rsid w:val="1804328A"/>
    <w:rsid w:val="181F09C9"/>
    <w:rsid w:val="1AAB6E0B"/>
    <w:rsid w:val="1CFA2180"/>
    <w:rsid w:val="1E135D30"/>
    <w:rsid w:val="1EAF4CC7"/>
    <w:rsid w:val="20A02C03"/>
    <w:rsid w:val="232B6921"/>
    <w:rsid w:val="237054BB"/>
    <w:rsid w:val="23A52593"/>
    <w:rsid w:val="24685B8A"/>
    <w:rsid w:val="25636DA1"/>
    <w:rsid w:val="257B62E8"/>
    <w:rsid w:val="25C53EDF"/>
    <w:rsid w:val="2B0F0349"/>
    <w:rsid w:val="2B164455"/>
    <w:rsid w:val="2BA50851"/>
    <w:rsid w:val="2BE901A3"/>
    <w:rsid w:val="2C597224"/>
    <w:rsid w:val="2DF15491"/>
    <w:rsid w:val="2E0B290E"/>
    <w:rsid w:val="2E395AB1"/>
    <w:rsid w:val="30D12D4F"/>
    <w:rsid w:val="30F803EA"/>
    <w:rsid w:val="310B3721"/>
    <w:rsid w:val="31796EE0"/>
    <w:rsid w:val="3206073F"/>
    <w:rsid w:val="334F0D65"/>
    <w:rsid w:val="3432190A"/>
    <w:rsid w:val="37290AE3"/>
    <w:rsid w:val="38F1421E"/>
    <w:rsid w:val="393C702B"/>
    <w:rsid w:val="394E4C20"/>
    <w:rsid w:val="395C1A10"/>
    <w:rsid w:val="3A2921CB"/>
    <w:rsid w:val="3AF612F4"/>
    <w:rsid w:val="3B7611CD"/>
    <w:rsid w:val="3C625B06"/>
    <w:rsid w:val="3C91450D"/>
    <w:rsid w:val="3CA8242B"/>
    <w:rsid w:val="3D084614"/>
    <w:rsid w:val="3F19304C"/>
    <w:rsid w:val="418C1DA8"/>
    <w:rsid w:val="43D301B6"/>
    <w:rsid w:val="44126046"/>
    <w:rsid w:val="47630AA6"/>
    <w:rsid w:val="47F527C7"/>
    <w:rsid w:val="48CE4158"/>
    <w:rsid w:val="48F77A24"/>
    <w:rsid w:val="490F5437"/>
    <w:rsid w:val="4C593745"/>
    <w:rsid w:val="4D201A55"/>
    <w:rsid w:val="4DA977FA"/>
    <w:rsid w:val="4DC5505B"/>
    <w:rsid w:val="4E9766D9"/>
    <w:rsid w:val="517F2E47"/>
    <w:rsid w:val="51997380"/>
    <w:rsid w:val="527E0112"/>
    <w:rsid w:val="55D91A1C"/>
    <w:rsid w:val="571965B8"/>
    <w:rsid w:val="573B7797"/>
    <w:rsid w:val="590B64DB"/>
    <w:rsid w:val="59251FEF"/>
    <w:rsid w:val="59A57C86"/>
    <w:rsid w:val="5B8311D9"/>
    <w:rsid w:val="5DA67AAD"/>
    <w:rsid w:val="5DD63318"/>
    <w:rsid w:val="5E940381"/>
    <w:rsid w:val="5F527FE9"/>
    <w:rsid w:val="60333D26"/>
    <w:rsid w:val="60435100"/>
    <w:rsid w:val="614C4444"/>
    <w:rsid w:val="630947E6"/>
    <w:rsid w:val="635934E4"/>
    <w:rsid w:val="6374625C"/>
    <w:rsid w:val="644E26C8"/>
    <w:rsid w:val="652E788D"/>
    <w:rsid w:val="66A11197"/>
    <w:rsid w:val="66AB31EE"/>
    <w:rsid w:val="67D22A10"/>
    <w:rsid w:val="68294A49"/>
    <w:rsid w:val="68B121C8"/>
    <w:rsid w:val="69D42B55"/>
    <w:rsid w:val="6A3E16FC"/>
    <w:rsid w:val="6A4B40F6"/>
    <w:rsid w:val="6A500CBD"/>
    <w:rsid w:val="6F5274D1"/>
    <w:rsid w:val="70D738BD"/>
    <w:rsid w:val="71E54B1F"/>
    <w:rsid w:val="723871C6"/>
    <w:rsid w:val="741C385C"/>
    <w:rsid w:val="74A5165E"/>
    <w:rsid w:val="75D252A6"/>
    <w:rsid w:val="76055B35"/>
    <w:rsid w:val="77A94AE9"/>
    <w:rsid w:val="7CAC2D43"/>
    <w:rsid w:val="7DAD2C27"/>
    <w:rsid w:val="7DD00357"/>
    <w:rsid w:val="7E4A614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95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1795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364</Words>
  <Characters>2078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王洪玖</cp:lastModifiedBy>
  <cp:revision>3</cp:revision>
  <cp:lastPrinted>2017-11-29T07:12:00Z</cp:lastPrinted>
  <dcterms:created xsi:type="dcterms:W3CDTF">2014-10-29T12:08:00Z</dcterms:created>
  <dcterms:modified xsi:type="dcterms:W3CDTF">2018-12-11T03:07:00Z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