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Times New Roman" w:eastAsia="方正小标宋简体"/>
          <w:b/>
          <w:kern w:val="0"/>
          <w:sz w:val="44"/>
          <w:szCs w:val="44"/>
        </w:rPr>
      </w:pPr>
      <w:r>
        <w:rPr>
          <w:rFonts w:hint="eastAsia" w:ascii="方正小标宋简体" w:hAnsi="Times New Roman" w:eastAsia="方正小标宋简体"/>
          <w:b/>
          <w:kern w:val="0"/>
          <w:sz w:val="44"/>
          <w:szCs w:val="44"/>
        </w:rPr>
        <w:t>湛江市地方标准</w:t>
      </w:r>
    </w:p>
    <w:p>
      <w:pPr>
        <w:spacing w:line="360" w:lineRule="auto"/>
        <w:jc w:val="center"/>
        <w:rPr>
          <w:rFonts w:ascii="方正小标宋简体" w:hAnsi="Times New Roman" w:eastAsia="方正小标宋简体"/>
          <w:b/>
          <w:kern w:val="0"/>
          <w:sz w:val="44"/>
          <w:szCs w:val="44"/>
        </w:rPr>
      </w:pPr>
      <w:r>
        <w:rPr>
          <w:rFonts w:hint="eastAsia" w:ascii="方正小标宋简体" w:hAnsi="Times New Roman" w:eastAsia="方正小标宋简体"/>
          <w:b/>
          <w:kern w:val="0"/>
          <w:sz w:val="44"/>
          <w:szCs w:val="44"/>
        </w:rPr>
        <w:t>《盐制金鲳鱼加工技术规程》编制说明</w:t>
      </w:r>
    </w:p>
    <w:p>
      <w:pPr>
        <w:spacing w:line="360" w:lineRule="auto"/>
        <w:jc w:val="center"/>
        <w:rPr>
          <w:rFonts w:ascii="方正小标宋简体" w:hAnsi="Times New Roman" w:eastAsia="方正小标宋简体"/>
          <w:b/>
          <w:kern w:val="0"/>
          <w:sz w:val="44"/>
          <w:szCs w:val="44"/>
        </w:rPr>
      </w:pPr>
    </w:p>
    <w:p>
      <w:pPr>
        <w:spacing w:line="360" w:lineRule="auto"/>
        <w:rPr>
          <w:rFonts w:ascii="仿宋" w:hAnsi="仿宋" w:eastAsia="仿宋"/>
          <w:b/>
          <w:sz w:val="32"/>
          <w:szCs w:val="32"/>
        </w:rPr>
      </w:pPr>
      <w:r>
        <w:rPr>
          <w:rFonts w:ascii="仿宋" w:hAnsi="仿宋" w:eastAsia="仿宋"/>
          <w:b/>
          <w:sz w:val="32"/>
          <w:szCs w:val="32"/>
        </w:rPr>
        <w:t>一、任务来源</w:t>
      </w:r>
    </w:p>
    <w:p>
      <w:pPr>
        <w:spacing w:line="360" w:lineRule="auto"/>
        <w:ind w:firstLine="600" w:firstLineChars="200"/>
        <w:rPr>
          <w:rFonts w:ascii="宋体" w:hAnsi="宋体"/>
          <w:b/>
          <w:sz w:val="32"/>
          <w:szCs w:val="32"/>
        </w:rPr>
      </w:pPr>
      <w:r>
        <w:rPr>
          <w:rFonts w:hint="eastAsia" w:ascii="仿宋" w:hAnsi="仿宋" w:eastAsia="仿宋" w:cs="仿宋"/>
          <w:sz w:val="30"/>
          <w:szCs w:val="30"/>
        </w:rPr>
        <w:t>根据湛江市市场监督管理局发布的《关于批准下达2022、2023年度湛江市地方标准制修订计划项目的通知》（湛市监计[2023]40号）的要求，由广东恒兴集团有限公司主导牵头，联合广东省湛江市质量技术监督标准与编码所、广东海洋大学、湛江市食品药品检验所、南方海洋科学与工程广东省实验室（湛江）4个单位共同制定湛江市地方标准</w:t>
      </w:r>
      <w:r>
        <w:rPr>
          <w:rFonts w:hint="eastAsia" w:ascii="仿宋" w:hAnsi="仿宋" w:eastAsia="仿宋"/>
          <w:sz w:val="32"/>
          <w:szCs w:val="32"/>
        </w:rPr>
        <w:t>《盐制金鲳鱼加工技术规程》。</w:t>
      </w:r>
    </w:p>
    <w:p>
      <w:pPr>
        <w:spacing w:line="360" w:lineRule="auto"/>
        <w:rPr>
          <w:rFonts w:ascii="仿宋" w:hAnsi="仿宋" w:eastAsia="仿宋"/>
          <w:b/>
          <w:sz w:val="32"/>
          <w:szCs w:val="32"/>
        </w:rPr>
      </w:pPr>
      <w:r>
        <w:rPr>
          <w:rFonts w:ascii="仿宋" w:hAnsi="仿宋" w:eastAsia="仿宋"/>
          <w:b/>
          <w:sz w:val="32"/>
          <w:szCs w:val="32"/>
        </w:rPr>
        <w:t>二、</w:t>
      </w:r>
      <w:r>
        <w:rPr>
          <w:rFonts w:hint="eastAsia" w:ascii="仿宋" w:hAnsi="仿宋" w:eastAsia="仿宋"/>
          <w:b/>
          <w:sz w:val="32"/>
          <w:szCs w:val="32"/>
        </w:rPr>
        <w:t>编制背景、目的和意义</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 xml:space="preserve">金鲳鱼学名卵形鲳鲹，是一种具有生长快、耐粗食、耐低氧、抗病力强、广盐性等特点，能在咸淡水或海水中养殖的产量大宗、市场前景好的新兴养殖品种。金鲳鱼体形较大，肉质细嫩，含脂肪多，味道浓厚，越来越受到国内外市场关注，特别是在美国、日本、韩国、欧盟等水产品消费大国的需求量不断攀升。随着“十四五”拉开序幕，渔业再一次强调“供给侧结构性改革”和“高质量发展”的主基调，继续推动质量变革、效率变革、动能变革。近几年，湛江市金鲳鱼养殖业的迅速发展带动了苗种、饲料、养殖装备、加工与流通等全产业链的发展，成为带动农民致富的特色产业之一，年产量占全国 40%，直接从业人口约 10 万人，间接带动从业人口近100万人，金鲳鱼产业总产值约100亿元，成为带动农民致富的特色产业之一。目前湛江一跃成为全国最大的金鲳鱼养殖基地，着眼于金鲳鱼产业长远发展，湛江已形成苗种、饲料、鱼药、流通、加工、质量安全、品牌塑造、技术服务配套完善的全产业链。全国17—18 万吨产量，有50％分布于广东，而广东金鲳鱼产量就有超过 70％来自湛江。2021年10月，湛江市被中国水产流通与加工协会正式授予“中国金鲳鱼之都”的称号，湛江堪称“中国金鲳鱼行业风向标”。 </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 xml:space="preserve">金鲳鱼行业有一个可喜的变化，就是优质产品的比例不断提高，运用深海网箱、海洋牧场等技术和模式，养出来的金鲳鱼无论是口感风味，还是营养价值都有很大提升。随着国家对渔业“减量提质”政策思路落实，更多的行业资源进入海水养殖，要求产出更加优质的渔产品，金鲳鱼的品质提升，已经成为未来发展的必由之路。在湛江建设了以深海网箱养殖为主题的渔业产业园，通过集约化、标准化建设发展，不断探索新型渔业经济的发展道路。目前由广东恒兴集团有限公司牵头建设省级深海网箱养殖优势产区现代农业产业园，全力打造中国金鲳渔业示范区，进一步做大做强我国特色水产产业。 2022年3月25 日，广东省人民政府办公厅印发关于《加快推进广东预制菜产业高质量发展十条措施》的通知，推动打造湛江水产预制菜美食之都，带动广东预制菜产业高质量发展。湛江各大水产企业迅速响应政府号召，成立湛江市预制菜产业联盟，通过拓展“粤菜师傅＋预制菜全产业链”发展模式，为湛江预制菜发展插上翅膀。 </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 xml:space="preserve">为了进一步规范金鲳鱼产业，实现“金鲳鱼经济”转型升级，金鲳鱼不仅是预制菜式，更是大食物观下的“海上粮仓”。该标准的制定，能够规范盐制金鲳鱼加工企业生产操作，以及成为判定加工企业是否履行规定程序的依据，对规范盐制金鲳鱼市场，带动湛江水产预制菜产业高速发展具有重要意义。 </w:t>
      </w:r>
    </w:p>
    <w:p>
      <w:pPr>
        <w:spacing w:line="360" w:lineRule="auto"/>
        <w:rPr>
          <w:rFonts w:ascii="仿宋" w:hAnsi="仿宋" w:eastAsia="仿宋"/>
          <w:b/>
          <w:sz w:val="32"/>
          <w:szCs w:val="32"/>
        </w:rPr>
      </w:pPr>
      <w:r>
        <w:rPr>
          <w:rFonts w:ascii="仿宋" w:hAnsi="仿宋" w:eastAsia="仿宋"/>
          <w:b/>
          <w:sz w:val="32"/>
          <w:szCs w:val="32"/>
        </w:rPr>
        <w:t>三、标准编制原则</w:t>
      </w:r>
    </w:p>
    <w:p>
      <w:pPr>
        <w:widowControl/>
        <w:spacing w:line="360" w:lineRule="auto"/>
        <w:ind w:firstLine="640" w:firstLineChars="200"/>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1、遵循国家有关方针和政策、法规和规章。</w:t>
      </w:r>
    </w:p>
    <w:p>
      <w:pPr>
        <w:widowControl/>
        <w:spacing w:line="360" w:lineRule="auto"/>
        <w:ind w:firstLine="640" w:firstLineChars="200"/>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2、格式上按照GB/T 1.1-2020《标准化工作导则 第1部分：标准化文件的结构和起草规则》的规定进行编写。</w:t>
      </w:r>
    </w:p>
    <w:p>
      <w:pPr>
        <w:spacing w:line="360" w:lineRule="auto"/>
        <w:ind w:firstLine="640" w:firstLineChars="200"/>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3、严格执行强制性国家标准，充分考虑与其它相关标准相协调。</w:t>
      </w:r>
    </w:p>
    <w:p>
      <w:pPr>
        <w:spacing w:line="360" w:lineRule="auto"/>
        <w:rPr>
          <w:rFonts w:ascii="仿宋" w:hAnsi="仿宋" w:eastAsia="仿宋"/>
          <w:b/>
          <w:sz w:val="32"/>
          <w:szCs w:val="32"/>
        </w:rPr>
      </w:pPr>
      <w:r>
        <w:rPr>
          <w:rFonts w:hint="eastAsia" w:ascii="仿宋" w:hAnsi="仿宋" w:eastAsia="仿宋"/>
          <w:b/>
          <w:sz w:val="32"/>
          <w:szCs w:val="32"/>
        </w:rPr>
        <w:t>四、</w:t>
      </w:r>
      <w:r>
        <w:rPr>
          <w:rFonts w:ascii="仿宋" w:hAnsi="仿宋" w:eastAsia="仿宋"/>
          <w:b/>
          <w:sz w:val="32"/>
          <w:szCs w:val="32"/>
        </w:rPr>
        <w:t>主要工作过程</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1、成立《盐制金鲳鱼加工技术规程》标准起草小组，对该标准的制定进行调研、验证，收集相关资料，完成前期调研和资料收集工作；</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2、对前期调研收集的资料进行筛选，确定标准起草的主要内容，完成标准草案的起草；</w:t>
      </w:r>
    </w:p>
    <w:p>
      <w:pPr>
        <w:spacing w:line="360" w:lineRule="auto"/>
        <w:ind w:firstLine="640" w:firstLineChars="200"/>
        <w:rPr>
          <w:rFonts w:ascii="仿宋" w:hAnsi="仿宋" w:eastAsia="仿宋" w:cs="仿宋"/>
          <w:b/>
          <w:sz w:val="28"/>
          <w:szCs w:val="28"/>
        </w:rPr>
      </w:pPr>
      <w:r>
        <w:rPr>
          <w:rFonts w:hint="eastAsia" w:ascii="仿宋" w:hAnsi="仿宋" w:eastAsia="仿宋" w:cs="仿宋"/>
          <w:kern w:val="0"/>
          <w:sz w:val="32"/>
          <w:szCs w:val="32"/>
        </w:rPr>
        <w:t>3、整理资料、查阅文献，修改标准草案内容，形成标准征求意见稿。</w:t>
      </w:r>
    </w:p>
    <w:p>
      <w:pPr>
        <w:spacing w:line="360" w:lineRule="auto"/>
        <w:rPr>
          <w:rFonts w:ascii="仿宋_GB2312" w:hAnsi="Times New Roman" w:eastAsia="仿宋_GB2312"/>
          <w:b/>
          <w:kern w:val="0"/>
          <w:sz w:val="32"/>
          <w:szCs w:val="32"/>
        </w:rPr>
      </w:pPr>
      <w:r>
        <w:rPr>
          <w:rFonts w:hint="eastAsia" w:ascii="仿宋_GB2312" w:hAnsi="Times New Roman" w:eastAsia="仿宋_GB2312"/>
          <w:b/>
          <w:kern w:val="0"/>
          <w:sz w:val="32"/>
          <w:szCs w:val="32"/>
        </w:rPr>
        <w:t>五、标准主要条款编制说明</w:t>
      </w:r>
    </w:p>
    <w:p>
      <w:pPr>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本产品属于水产制品，本标准是结合本公司生产加工盐制金鲳鱼的产品特点和参考国家标准GB 10136《食品安全国家标准 动物性水产制品》确定，本标准主要规定了以下内容。</w:t>
      </w:r>
    </w:p>
    <w:p>
      <w:pPr>
        <w:spacing w:line="360" w:lineRule="auto"/>
        <w:ind w:left="480"/>
        <w:jc w:val="left"/>
        <w:rPr>
          <w:rFonts w:ascii="仿宋_GB2312" w:hAnsi="Times New Roman" w:eastAsia="仿宋_GB2312"/>
          <w:b/>
          <w:color w:val="000000"/>
          <w:sz w:val="32"/>
          <w:szCs w:val="32"/>
        </w:rPr>
      </w:pPr>
      <w:r>
        <w:rPr>
          <w:rFonts w:hint="eastAsia" w:ascii="仿宋_GB2312" w:hAnsi="Times New Roman" w:eastAsia="仿宋_GB2312"/>
          <w:b/>
          <w:kern w:val="0"/>
          <w:sz w:val="32"/>
          <w:szCs w:val="32"/>
        </w:rPr>
        <w:t>（一）</w:t>
      </w:r>
      <w:r>
        <w:rPr>
          <w:rFonts w:hint="eastAsia" w:ascii="仿宋_GB2312" w:hAnsi="Times New Roman" w:eastAsia="仿宋_GB2312"/>
          <w:b/>
          <w:color w:val="000000"/>
          <w:sz w:val="32"/>
          <w:szCs w:val="32"/>
        </w:rPr>
        <w:t>标准适用范围</w:t>
      </w:r>
    </w:p>
    <w:p>
      <w:pPr>
        <w:spacing w:line="360" w:lineRule="auto"/>
        <w:ind w:firstLine="640" w:firstLineChars="200"/>
        <w:jc w:val="left"/>
        <w:rPr>
          <w:rFonts w:ascii="仿宋_GB2312" w:hAnsi="Times New Roman" w:eastAsia="仿宋_GB2312"/>
          <w:b/>
          <w:color w:val="000000"/>
          <w:sz w:val="32"/>
          <w:szCs w:val="32"/>
        </w:rPr>
      </w:pPr>
      <w:r>
        <w:rPr>
          <w:rFonts w:hint="eastAsia" w:ascii="仿宋" w:hAnsi="仿宋" w:eastAsia="仿宋" w:cs="仿宋"/>
          <w:color w:val="000000"/>
          <w:kern w:val="0"/>
          <w:sz w:val="32"/>
          <w:szCs w:val="32"/>
        </w:rPr>
        <w:t>本标准确立</w:t>
      </w:r>
      <w:r>
        <w:rPr>
          <w:rFonts w:ascii="仿宋" w:hAnsi="仿宋" w:eastAsia="仿宋" w:cs="仿宋"/>
          <w:color w:val="000000"/>
          <w:kern w:val="0"/>
          <w:sz w:val="32"/>
          <w:szCs w:val="32"/>
        </w:rPr>
        <w:t>了</w:t>
      </w:r>
      <w:r>
        <w:rPr>
          <w:rFonts w:hint="eastAsia" w:ascii="仿宋" w:hAnsi="仿宋" w:eastAsia="仿宋" w:cs="仿宋"/>
          <w:color w:val="000000"/>
          <w:kern w:val="0"/>
          <w:sz w:val="32"/>
          <w:szCs w:val="32"/>
        </w:rPr>
        <w:t>盐制金鲳鱼</w:t>
      </w:r>
      <w:r>
        <w:rPr>
          <w:rFonts w:ascii="仿宋" w:hAnsi="仿宋" w:eastAsia="仿宋" w:cs="仿宋"/>
          <w:color w:val="000000"/>
          <w:kern w:val="0"/>
          <w:sz w:val="32"/>
          <w:szCs w:val="32"/>
        </w:rPr>
        <w:t>的总体要求和</w:t>
      </w:r>
      <w:r>
        <w:rPr>
          <w:rFonts w:hint="eastAsia" w:ascii="仿宋" w:hAnsi="仿宋" w:eastAsia="仿宋" w:cs="仿宋"/>
          <w:color w:val="000000"/>
          <w:kern w:val="0"/>
          <w:sz w:val="32"/>
          <w:szCs w:val="32"/>
        </w:rPr>
        <w:t>加工程序，规定了加工操作、溯源管理等技术内容</w:t>
      </w:r>
      <w:r>
        <w:rPr>
          <w:rFonts w:ascii="仿宋" w:hAnsi="仿宋" w:eastAsia="仿宋" w:cs="仿宋"/>
          <w:color w:val="000000"/>
          <w:kern w:val="0"/>
          <w:sz w:val="32"/>
          <w:szCs w:val="32"/>
        </w:rPr>
        <w:t>。</w:t>
      </w:r>
    </w:p>
    <w:p>
      <w:pPr>
        <w:spacing w:line="360" w:lineRule="auto"/>
        <w:ind w:left="139" w:leftChars="66" w:right="215"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本</w:t>
      </w:r>
      <w:r>
        <w:rPr>
          <w:rFonts w:hint="eastAsia" w:ascii="仿宋" w:hAnsi="仿宋" w:eastAsia="仿宋" w:cs="仿宋"/>
          <w:color w:val="000000"/>
          <w:kern w:val="0"/>
          <w:sz w:val="32"/>
          <w:szCs w:val="32"/>
        </w:rPr>
        <w:t>标准</w:t>
      </w:r>
      <w:r>
        <w:rPr>
          <w:rFonts w:ascii="仿宋" w:hAnsi="仿宋" w:eastAsia="仿宋" w:cs="仿宋"/>
          <w:color w:val="000000"/>
          <w:kern w:val="0"/>
          <w:sz w:val="32"/>
          <w:szCs w:val="32"/>
        </w:rPr>
        <w:t>适用于</w:t>
      </w:r>
      <w:r>
        <w:rPr>
          <w:rFonts w:hint="eastAsia" w:ascii="仿宋" w:hAnsi="仿宋" w:eastAsia="仿宋" w:cs="仿宋"/>
          <w:color w:val="000000"/>
          <w:kern w:val="0"/>
          <w:sz w:val="32"/>
          <w:szCs w:val="32"/>
        </w:rPr>
        <w:t>盐制金鲳鱼加工企业生产操作，以及判定加工企业是否履行规定程序的依据。</w:t>
      </w:r>
    </w:p>
    <w:p>
      <w:pPr>
        <w:spacing w:line="360" w:lineRule="auto"/>
        <w:ind w:firstLine="643" w:firstLineChars="200"/>
        <w:jc w:val="left"/>
        <w:rPr>
          <w:rFonts w:ascii="仿宋_GB2312" w:hAnsi="Times New Roman" w:eastAsia="仿宋_GB2312"/>
          <w:b/>
          <w:color w:val="000000"/>
          <w:sz w:val="32"/>
          <w:szCs w:val="32"/>
        </w:rPr>
      </w:pPr>
      <w:r>
        <w:rPr>
          <w:rFonts w:hint="eastAsia" w:ascii="仿宋_GB2312" w:hAnsi="Times New Roman" w:eastAsia="仿宋_GB2312"/>
          <w:b/>
          <w:color w:val="000000"/>
          <w:sz w:val="32"/>
          <w:szCs w:val="32"/>
        </w:rPr>
        <w:t>（二）标准引用文件</w:t>
      </w:r>
    </w:p>
    <w:p>
      <w:pPr>
        <w:spacing w:line="360" w:lineRule="auto"/>
        <w:ind w:firstLine="640" w:firstLineChars="200"/>
        <w:jc w:val="left"/>
        <w:rPr>
          <w:rFonts w:ascii="仿宋_GB2312" w:hAnsi="Times New Roman" w:eastAsia="仿宋_GB2312"/>
          <w:b/>
          <w:color w:val="000000"/>
          <w:sz w:val="32"/>
          <w:szCs w:val="32"/>
        </w:rPr>
      </w:pPr>
      <w:r>
        <w:rPr>
          <w:rFonts w:hint="eastAsia" w:ascii="仿宋_GB2312" w:eastAsia="仿宋_GB2312"/>
          <w:color w:val="000000"/>
          <w:kern w:val="0"/>
          <w:sz w:val="32"/>
          <w:szCs w:val="32"/>
        </w:rPr>
        <w:t>详见标准文本。</w:t>
      </w:r>
    </w:p>
    <w:p>
      <w:pPr>
        <w:spacing w:line="360" w:lineRule="auto"/>
        <w:ind w:firstLine="643" w:firstLineChars="200"/>
        <w:jc w:val="left"/>
        <w:rPr>
          <w:rFonts w:ascii="仿宋_GB2312" w:hAnsi="Times New Roman" w:eastAsia="仿宋_GB2312"/>
          <w:b/>
          <w:color w:val="000000"/>
          <w:sz w:val="32"/>
          <w:szCs w:val="32"/>
        </w:rPr>
      </w:pPr>
      <w:r>
        <w:rPr>
          <w:rFonts w:hint="eastAsia" w:ascii="仿宋_GB2312" w:hAnsi="Times New Roman" w:eastAsia="仿宋_GB2312"/>
          <w:b/>
          <w:color w:val="000000"/>
          <w:sz w:val="32"/>
          <w:szCs w:val="32"/>
        </w:rPr>
        <w:t>（三）术语和定义</w:t>
      </w:r>
    </w:p>
    <w:p>
      <w:pPr>
        <w:spacing w:line="360" w:lineRule="auto"/>
        <w:ind w:firstLine="640" w:firstLineChars="200"/>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GB/T 36193界定的术语和定义适用于本文件。</w:t>
      </w:r>
    </w:p>
    <w:p>
      <w:pPr>
        <w:spacing w:line="360" w:lineRule="auto"/>
        <w:ind w:firstLine="643" w:firstLineChars="200"/>
        <w:jc w:val="left"/>
        <w:rPr>
          <w:rFonts w:ascii="仿宋_GB2312" w:hAnsi="Times New Roman" w:eastAsia="仿宋_GB2312"/>
          <w:b/>
          <w:color w:val="000000"/>
          <w:sz w:val="32"/>
          <w:szCs w:val="32"/>
        </w:rPr>
      </w:pPr>
      <w:r>
        <w:rPr>
          <w:rFonts w:hint="eastAsia" w:ascii="仿宋_GB2312" w:hAnsi="Times New Roman" w:eastAsia="仿宋_GB2312"/>
          <w:b/>
          <w:color w:val="000000"/>
          <w:sz w:val="32"/>
          <w:szCs w:val="32"/>
        </w:rPr>
        <w:t>（四）标准编制主要内容</w:t>
      </w:r>
    </w:p>
    <w:p>
      <w:pPr>
        <w:pStyle w:val="9"/>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1、总体要求</w:t>
      </w:r>
    </w:p>
    <w:p>
      <w:pPr>
        <w:pStyle w:val="2"/>
        <w:spacing w:line="360" w:lineRule="auto"/>
        <w:ind w:left="108" w:firstLine="640" w:firstLineChars="200"/>
        <w:rPr>
          <w:rFonts w:ascii="仿宋" w:hAnsi="仿宋" w:eastAsia="仿宋" w:cs="仿宋"/>
          <w:kern w:val="0"/>
          <w:sz w:val="32"/>
          <w:szCs w:val="32"/>
        </w:rPr>
      </w:pPr>
      <w:r>
        <w:rPr>
          <w:rFonts w:hint="eastAsia" w:ascii="仿宋" w:hAnsi="仿宋" w:eastAsia="仿宋" w:cs="仿宋"/>
          <w:kern w:val="0"/>
          <w:sz w:val="32"/>
          <w:szCs w:val="32"/>
        </w:rPr>
        <w:t>1）、加工车间、设施与设备、卫生管理及生产过程的食品安全控制等应符合 GB 20941的规定。</w:t>
      </w:r>
    </w:p>
    <w:p>
      <w:pPr>
        <w:pStyle w:val="2"/>
        <w:spacing w:line="360" w:lineRule="auto"/>
        <w:ind w:left="108" w:firstLine="640" w:firstLineChars="200"/>
        <w:rPr>
          <w:rFonts w:ascii="仿宋" w:hAnsi="仿宋" w:eastAsia="仿宋" w:cs="仿宋"/>
          <w:kern w:val="0"/>
          <w:sz w:val="32"/>
          <w:szCs w:val="32"/>
        </w:rPr>
      </w:pPr>
      <w:r>
        <w:rPr>
          <w:rFonts w:hint="eastAsia" w:ascii="仿宋" w:hAnsi="仿宋" w:eastAsia="仿宋" w:cs="仿宋"/>
          <w:kern w:val="0"/>
          <w:sz w:val="32"/>
          <w:szCs w:val="32"/>
        </w:rPr>
        <w:t>2）、加工用水为饮用水或清洁海水。饮用水应符合 GB 5749 的规定，清洁海水应符合GB 5749中的微生物、污染物的要求且不含异物。</w:t>
      </w:r>
      <w:bookmarkStart w:id="0" w:name="4.2_加工用水为饮用水或清洁海水。饮用水符合GB_5749的规定，清洁海水符合"/>
      <w:bookmarkEnd w:id="0"/>
    </w:p>
    <w:p>
      <w:pPr>
        <w:pStyle w:val="2"/>
        <w:spacing w:line="360" w:lineRule="auto"/>
        <w:ind w:left="108" w:firstLine="640" w:firstLineChars="200"/>
        <w:rPr>
          <w:rFonts w:ascii="仿宋" w:hAnsi="仿宋" w:eastAsia="仿宋" w:cs="仿宋"/>
          <w:kern w:val="0"/>
          <w:sz w:val="32"/>
          <w:szCs w:val="32"/>
        </w:rPr>
      </w:pPr>
      <w:r>
        <w:rPr>
          <w:rFonts w:hint="eastAsia" w:ascii="仿宋" w:hAnsi="仿宋" w:eastAsia="仿宋" w:cs="仿宋"/>
          <w:kern w:val="0"/>
          <w:sz w:val="32"/>
          <w:szCs w:val="32"/>
        </w:rPr>
        <w:t>3）、加工用食品添加剂的品种及用量应符合 GB 2760 的规定。</w:t>
      </w:r>
    </w:p>
    <w:p>
      <w:pPr>
        <w:pStyle w:val="2"/>
        <w:spacing w:line="360" w:lineRule="auto"/>
        <w:ind w:left="108" w:firstLine="640" w:firstLineChars="200"/>
        <w:rPr>
          <w:rFonts w:ascii="仿宋" w:hAnsi="仿宋" w:eastAsia="仿宋" w:cs="仿宋"/>
          <w:kern w:val="0"/>
          <w:sz w:val="32"/>
          <w:szCs w:val="32"/>
        </w:rPr>
      </w:pPr>
      <w:bookmarkStart w:id="1" w:name="4.4_加工用食盐应符合GB_2721的规定。"/>
      <w:bookmarkEnd w:id="1"/>
      <w:r>
        <w:rPr>
          <w:rFonts w:hint="eastAsia" w:ascii="仿宋" w:hAnsi="仿宋" w:eastAsia="仿宋" w:cs="仿宋"/>
          <w:kern w:val="0"/>
          <w:sz w:val="32"/>
          <w:szCs w:val="32"/>
        </w:rPr>
        <w:t>4）、加工用食盐应符合 GB 2721 的规定。</w:t>
      </w:r>
      <w:bookmarkStart w:id="2" w:name="4.5_其他调味辅料应符合相应的标准要求和规定。"/>
      <w:bookmarkEnd w:id="2"/>
    </w:p>
    <w:p>
      <w:pPr>
        <w:pStyle w:val="2"/>
        <w:spacing w:line="360" w:lineRule="auto"/>
        <w:ind w:left="108" w:firstLine="640" w:firstLineChars="200"/>
        <w:rPr>
          <w:rFonts w:ascii="仿宋" w:hAnsi="仿宋" w:eastAsia="仿宋" w:cs="仿宋"/>
          <w:kern w:val="0"/>
          <w:sz w:val="32"/>
          <w:szCs w:val="32"/>
        </w:rPr>
      </w:pPr>
      <w:r>
        <w:rPr>
          <w:rFonts w:hint="eastAsia" w:ascii="仿宋" w:hAnsi="仿宋" w:eastAsia="仿宋" w:cs="仿宋"/>
          <w:kern w:val="0"/>
          <w:sz w:val="32"/>
          <w:szCs w:val="32"/>
        </w:rPr>
        <w:t>5）、其他调味辅料应符合相应标准和有关规定。</w:t>
      </w:r>
      <w:bookmarkStart w:id="3" w:name="4.6_包装材料应符合相应的标准要求和规定。"/>
      <w:bookmarkEnd w:id="3"/>
    </w:p>
    <w:p>
      <w:pPr>
        <w:pStyle w:val="2"/>
        <w:spacing w:line="360" w:lineRule="auto"/>
        <w:ind w:left="108" w:firstLine="640" w:firstLineChars="200"/>
        <w:rPr>
          <w:rFonts w:ascii="仿宋" w:hAnsi="仿宋" w:eastAsia="仿宋" w:cs="仿宋"/>
          <w:kern w:val="0"/>
          <w:sz w:val="32"/>
          <w:szCs w:val="32"/>
        </w:rPr>
      </w:pPr>
      <w:r>
        <w:rPr>
          <w:rFonts w:hint="eastAsia" w:ascii="仿宋" w:hAnsi="仿宋" w:eastAsia="仿宋" w:cs="仿宋"/>
          <w:kern w:val="0"/>
          <w:sz w:val="32"/>
          <w:szCs w:val="32"/>
        </w:rPr>
        <w:t>6）、包装材料应符合相应标准和有关规定。</w:t>
      </w:r>
      <w:bookmarkStart w:id="4" w:name="4.7_腌制过程所使用工具、容器应符合相应标准要求与规定，使用前应清洗干净。"/>
      <w:bookmarkEnd w:id="4"/>
    </w:p>
    <w:p>
      <w:pPr>
        <w:pStyle w:val="2"/>
        <w:spacing w:line="360" w:lineRule="auto"/>
        <w:ind w:left="108" w:firstLine="640" w:firstLineChars="200"/>
        <w:rPr>
          <w:rFonts w:ascii="仿宋" w:hAnsi="仿宋" w:eastAsia="仿宋" w:cs="仿宋"/>
          <w:kern w:val="0"/>
          <w:sz w:val="32"/>
          <w:szCs w:val="32"/>
        </w:rPr>
      </w:pPr>
      <w:r>
        <w:rPr>
          <w:rFonts w:hint="eastAsia" w:ascii="仿宋" w:hAnsi="仿宋" w:eastAsia="仿宋" w:cs="仿宋"/>
          <w:kern w:val="0"/>
          <w:sz w:val="32"/>
          <w:szCs w:val="32"/>
        </w:rPr>
        <w:t>7）、腌制过程所使用工具、容器应符合相应标准和有关规定，使用前应清洗干净。</w:t>
      </w:r>
    </w:p>
    <w:p>
      <w:pPr>
        <w:pStyle w:val="2"/>
        <w:spacing w:line="360" w:lineRule="auto"/>
        <w:ind w:left="110" w:firstLine="640" w:firstLineChars="200"/>
        <w:rPr>
          <w:rFonts w:ascii="仿宋" w:hAnsi="仿宋" w:eastAsia="仿宋" w:cs="仿宋"/>
          <w:kern w:val="0"/>
          <w:sz w:val="32"/>
          <w:szCs w:val="32"/>
        </w:rPr>
      </w:pPr>
      <w:r>
        <w:rPr>
          <w:rFonts w:hint="eastAsia" w:ascii="仿宋" w:hAnsi="仿宋" w:eastAsia="仿宋" w:cs="仿宋"/>
          <w:kern w:val="0"/>
          <w:sz w:val="32"/>
          <w:szCs w:val="32"/>
        </w:rPr>
        <w:t>2、加工工艺流程</w:t>
      </w:r>
    </w:p>
    <w:p>
      <w:pPr>
        <w:pStyle w:val="2"/>
        <w:spacing w:line="360" w:lineRule="auto"/>
        <w:ind w:left="110" w:firstLine="640" w:firstLineChars="200"/>
        <w:rPr>
          <w:rFonts w:ascii="仿宋" w:hAnsi="仿宋" w:eastAsia="仿宋" w:cs="仿宋"/>
          <w:kern w:val="0"/>
          <w:sz w:val="32"/>
          <w:szCs w:val="32"/>
        </w:rPr>
      </w:pPr>
      <w:r>
        <w:rPr>
          <w:rFonts w:hint="eastAsia" w:ascii="仿宋" w:hAnsi="仿宋" w:eastAsia="仿宋" w:cs="仿宋"/>
          <w:kern w:val="0"/>
          <w:sz w:val="32"/>
          <w:szCs w:val="32"/>
        </w:rPr>
        <w:t>加工工艺包括17个工序。其中工序2、工序10为可选序，可根据实际生产需要进行选用。盐制金鲳鱼加工工艺流程图见图1。</w:t>
      </w:r>
    </w:p>
    <w:p>
      <w:pPr>
        <w:pStyle w:val="2"/>
        <w:spacing w:line="360" w:lineRule="auto"/>
        <w:ind w:left="110" w:firstLine="640" w:firstLineChars="200"/>
        <w:jc w:val="center"/>
        <w:rPr>
          <w:rFonts w:ascii="仿宋" w:hAnsi="仿宋" w:eastAsia="仿宋" w:cs="仿宋"/>
          <w:kern w:val="0"/>
          <w:sz w:val="32"/>
          <w:szCs w:val="32"/>
        </w:rPr>
      </w:pPr>
      <w:r>
        <w:rPr>
          <w:rFonts w:ascii="仿宋" w:hAnsi="仿宋" w:eastAsia="仿宋" w:cs="仿宋"/>
          <w:kern w:val="0"/>
          <w:sz w:val="32"/>
          <w:szCs w:val="32"/>
        </w:rPr>
        <w:drawing>
          <wp:inline distT="0" distB="0" distL="0" distR="0">
            <wp:extent cx="4888230" cy="4010025"/>
            <wp:effectExtent l="0" t="0" r="7620" b="0"/>
            <wp:docPr id="1" name="图片 1" descr="C:\Users\hp\Documents\WeChat Files\wxid_8jxk620u4r6921\FileStorage\Temp\16893233102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p\Documents\WeChat Files\wxid_8jxk620u4r6921\FileStorage\Temp\168932331027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902761" cy="4021624"/>
                    </a:xfrm>
                    <a:prstGeom prst="rect">
                      <a:avLst/>
                    </a:prstGeom>
                    <a:noFill/>
                    <a:ln>
                      <a:noFill/>
                    </a:ln>
                  </pic:spPr>
                </pic:pic>
              </a:graphicData>
            </a:graphic>
          </wp:inline>
        </w:drawing>
      </w:r>
    </w:p>
    <w:p>
      <w:pPr>
        <w:pStyle w:val="2"/>
        <w:spacing w:line="360" w:lineRule="auto"/>
        <w:jc w:val="center"/>
        <w:rPr>
          <w:rFonts w:ascii="仿宋" w:hAnsi="仿宋" w:eastAsia="仿宋" w:cs="仿宋"/>
          <w:b/>
          <w:kern w:val="0"/>
          <w:sz w:val="30"/>
          <w:szCs w:val="30"/>
        </w:rPr>
      </w:pPr>
      <w:r>
        <w:rPr>
          <w:rFonts w:hint="eastAsia" w:ascii="仿宋" w:hAnsi="仿宋" w:eastAsia="仿宋" w:cs="仿宋"/>
          <w:b/>
          <w:kern w:val="0"/>
          <w:sz w:val="30"/>
          <w:szCs w:val="30"/>
        </w:rPr>
        <w:t>图1 盐制金鲳鱼加工工艺流程图</w:t>
      </w:r>
    </w:p>
    <w:p>
      <w:pPr>
        <w:pStyle w:val="2"/>
        <w:spacing w:line="600" w:lineRule="exact"/>
        <w:ind w:firstLine="645"/>
        <w:rPr>
          <w:rFonts w:ascii="仿宋" w:hAnsi="仿宋" w:eastAsia="仿宋" w:cs="仿宋"/>
          <w:kern w:val="0"/>
          <w:sz w:val="32"/>
          <w:szCs w:val="32"/>
        </w:rPr>
      </w:pPr>
      <w:r>
        <w:rPr>
          <w:rFonts w:hint="eastAsia" w:ascii="仿宋" w:hAnsi="仿宋" w:eastAsia="仿宋" w:cs="仿宋"/>
          <w:kern w:val="0"/>
          <w:sz w:val="32"/>
          <w:szCs w:val="32"/>
        </w:rPr>
        <w:t>3、加工操作</w:t>
      </w:r>
    </w:p>
    <w:p>
      <w:pPr>
        <w:pStyle w:val="2"/>
        <w:spacing w:line="600" w:lineRule="exact"/>
        <w:ind w:firstLine="645"/>
        <w:rPr>
          <w:rFonts w:ascii="仿宋" w:hAnsi="仿宋" w:eastAsia="仿宋" w:cs="仿宋"/>
          <w:kern w:val="0"/>
          <w:sz w:val="32"/>
          <w:szCs w:val="32"/>
        </w:rPr>
      </w:pPr>
      <w:r>
        <w:rPr>
          <w:rFonts w:hint="eastAsia" w:ascii="仿宋" w:hAnsi="仿宋" w:eastAsia="仿宋" w:cs="仿宋"/>
          <w:kern w:val="0"/>
          <w:sz w:val="32"/>
          <w:szCs w:val="32"/>
        </w:rPr>
        <w:t>主要包括原料验收，原料鱼保鲜（可选），去鳃、去内脏，切段，清洗，浸泡，沥水，腌制，干制（可选），内包装，冻结，称重，金属探测，外包装，标签、标识，储存。根据盐制金鲳鱼加工的实际情况及国家相关标准制定。</w:t>
      </w:r>
    </w:p>
    <w:p>
      <w:pPr>
        <w:pStyle w:val="2"/>
        <w:spacing w:line="600" w:lineRule="exact"/>
        <w:ind w:firstLine="645"/>
        <w:rPr>
          <w:rFonts w:ascii="仿宋" w:hAnsi="仿宋" w:eastAsia="仿宋" w:cs="仿宋"/>
          <w:kern w:val="0"/>
          <w:sz w:val="32"/>
          <w:szCs w:val="32"/>
        </w:rPr>
      </w:pPr>
      <w:r>
        <w:rPr>
          <w:rFonts w:hint="eastAsia" w:ascii="仿宋" w:hAnsi="仿宋" w:eastAsia="仿宋" w:cs="仿宋"/>
          <w:kern w:val="0"/>
          <w:sz w:val="32"/>
          <w:szCs w:val="32"/>
        </w:rPr>
        <w:t>4、溯源管理</w:t>
      </w:r>
    </w:p>
    <w:p>
      <w:pPr>
        <w:spacing w:line="600" w:lineRule="exact"/>
        <w:ind w:firstLine="640" w:firstLineChars="200"/>
        <w:jc w:val="left"/>
        <w:rPr>
          <w:rFonts w:ascii="仿宋" w:hAnsi="仿宋" w:eastAsia="仿宋" w:cs="仿宋"/>
          <w:kern w:val="0"/>
          <w:sz w:val="32"/>
          <w:szCs w:val="32"/>
        </w:rPr>
      </w:pPr>
      <w:bookmarkStart w:id="5" w:name="7.1_原料记录"/>
      <w:bookmarkEnd w:id="5"/>
      <w:r>
        <w:rPr>
          <w:rFonts w:hint="eastAsia" w:ascii="仿宋" w:hAnsi="仿宋" w:eastAsia="仿宋" w:cs="仿宋"/>
          <w:kern w:val="0"/>
          <w:sz w:val="32"/>
          <w:szCs w:val="32"/>
        </w:rPr>
        <w:t>1）、原料记录</w:t>
      </w:r>
      <w:bookmarkStart w:id="6" w:name="每批进厂的原料都应进行记录，记录的内容包括："/>
      <w:bookmarkEnd w:id="6"/>
    </w:p>
    <w:p>
      <w:pPr>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每批进厂的原料应进行记录，记录的内容包括：</w:t>
      </w:r>
    </w:p>
    <w:p>
      <w:pPr>
        <w:tabs>
          <w:tab w:val="left" w:pos="1187"/>
          <w:tab w:val="left" w:pos="1188"/>
        </w:tabs>
        <w:spacing w:line="600" w:lineRule="exact"/>
        <w:ind w:right="1280" w:firstLine="640" w:firstLineChars="200"/>
        <w:rPr>
          <w:rFonts w:ascii="仿宋" w:hAnsi="仿宋" w:eastAsia="仿宋" w:cs="仿宋"/>
          <w:kern w:val="0"/>
          <w:sz w:val="32"/>
          <w:szCs w:val="32"/>
        </w:rPr>
      </w:pPr>
      <w:bookmarkStart w:id="7" w:name="接收日期；"/>
      <w:bookmarkEnd w:id="7"/>
      <w:r>
        <w:rPr>
          <w:rFonts w:hint="eastAsia" w:ascii="仿宋" w:hAnsi="仿宋" w:eastAsia="仿宋" w:cs="仿宋"/>
          <w:kern w:val="0"/>
          <w:sz w:val="32"/>
          <w:szCs w:val="32"/>
        </w:rPr>
        <w:t>a) 接收日期；</w:t>
      </w:r>
    </w:p>
    <w:p>
      <w:pPr>
        <w:tabs>
          <w:tab w:val="left" w:pos="1187"/>
          <w:tab w:val="left" w:pos="1188"/>
        </w:tabs>
        <w:spacing w:line="600" w:lineRule="exact"/>
        <w:ind w:right="1280" w:firstLine="640" w:firstLineChars="200"/>
        <w:jc w:val="left"/>
        <w:rPr>
          <w:rFonts w:ascii="仿宋" w:hAnsi="仿宋" w:eastAsia="仿宋" w:cs="仿宋"/>
          <w:kern w:val="0"/>
          <w:sz w:val="32"/>
          <w:szCs w:val="32"/>
        </w:rPr>
      </w:pPr>
      <w:bookmarkStart w:id="8" w:name="产地来源；"/>
      <w:bookmarkEnd w:id="8"/>
      <w:r>
        <w:rPr>
          <w:rFonts w:hint="eastAsia" w:ascii="仿宋" w:hAnsi="仿宋" w:eastAsia="仿宋" w:cs="仿宋"/>
          <w:kern w:val="0"/>
          <w:sz w:val="32"/>
          <w:szCs w:val="32"/>
        </w:rPr>
        <w:t>b) 产地来源；</w:t>
      </w:r>
    </w:p>
    <w:p>
      <w:pPr>
        <w:tabs>
          <w:tab w:val="left" w:pos="1187"/>
          <w:tab w:val="left" w:pos="1188"/>
        </w:tabs>
        <w:spacing w:line="600" w:lineRule="exact"/>
        <w:ind w:firstLine="640" w:firstLineChars="200"/>
        <w:jc w:val="left"/>
        <w:rPr>
          <w:rFonts w:ascii="仿宋" w:hAnsi="仿宋" w:eastAsia="仿宋" w:cs="仿宋"/>
          <w:kern w:val="0"/>
          <w:sz w:val="32"/>
          <w:szCs w:val="32"/>
        </w:rPr>
      </w:pPr>
      <w:bookmarkStart w:id="9" w:name="养殖厂和/或供应商；"/>
      <w:bookmarkEnd w:id="9"/>
      <w:r>
        <w:rPr>
          <w:rFonts w:hint="eastAsia" w:ascii="仿宋" w:hAnsi="仿宋" w:eastAsia="仿宋" w:cs="仿宋"/>
          <w:kern w:val="0"/>
          <w:sz w:val="32"/>
          <w:szCs w:val="32"/>
        </w:rPr>
        <w:t>c) 养殖厂和/或供应商；</w:t>
      </w:r>
    </w:p>
    <w:p>
      <w:pPr>
        <w:tabs>
          <w:tab w:val="left" w:pos="1187"/>
          <w:tab w:val="left" w:pos="1188"/>
        </w:tabs>
        <w:spacing w:line="600" w:lineRule="exact"/>
        <w:ind w:firstLine="640" w:firstLineChars="200"/>
        <w:jc w:val="left"/>
        <w:rPr>
          <w:rFonts w:ascii="仿宋" w:hAnsi="仿宋" w:eastAsia="仿宋" w:cs="仿宋"/>
          <w:kern w:val="0"/>
          <w:sz w:val="32"/>
          <w:szCs w:val="32"/>
        </w:rPr>
      </w:pPr>
      <w:bookmarkStart w:id="10" w:name="规格和重量；"/>
      <w:bookmarkEnd w:id="10"/>
      <w:r>
        <w:rPr>
          <w:rFonts w:hint="eastAsia" w:ascii="仿宋" w:hAnsi="仿宋" w:eastAsia="仿宋" w:cs="仿宋"/>
          <w:kern w:val="0"/>
          <w:sz w:val="32"/>
          <w:szCs w:val="32"/>
        </w:rPr>
        <w:t>d) 规格和重量；</w:t>
      </w:r>
    </w:p>
    <w:p>
      <w:pPr>
        <w:tabs>
          <w:tab w:val="left" w:pos="1187"/>
          <w:tab w:val="left" w:pos="1188"/>
        </w:tabs>
        <w:spacing w:line="600" w:lineRule="exact"/>
        <w:ind w:firstLine="640" w:firstLineChars="200"/>
        <w:jc w:val="left"/>
        <w:rPr>
          <w:rFonts w:ascii="仿宋" w:hAnsi="仿宋" w:eastAsia="仿宋" w:cs="仿宋"/>
          <w:kern w:val="0"/>
          <w:sz w:val="32"/>
          <w:szCs w:val="32"/>
        </w:rPr>
      </w:pPr>
      <w:bookmarkStart w:id="11" w:name="新鲜度；"/>
      <w:bookmarkEnd w:id="11"/>
      <w:r>
        <w:rPr>
          <w:rFonts w:hint="eastAsia" w:ascii="仿宋" w:hAnsi="仿宋" w:eastAsia="仿宋" w:cs="仿宋"/>
          <w:kern w:val="0"/>
          <w:sz w:val="32"/>
          <w:szCs w:val="32"/>
        </w:rPr>
        <w:t>e) 新鲜度；</w:t>
      </w:r>
    </w:p>
    <w:p>
      <w:pPr>
        <w:tabs>
          <w:tab w:val="left" w:pos="1187"/>
          <w:tab w:val="left" w:pos="1188"/>
        </w:tabs>
        <w:spacing w:line="600" w:lineRule="exact"/>
        <w:ind w:firstLine="640" w:firstLineChars="200"/>
        <w:jc w:val="left"/>
        <w:rPr>
          <w:rFonts w:ascii="仿宋" w:hAnsi="仿宋" w:eastAsia="仿宋" w:cs="仿宋"/>
          <w:kern w:val="0"/>
          <w:sz w:val="32"/>
          <w:szCs w:val="32"/>
        </w:rPr>
      </w:pPr>
      <w:bookmarkStart w:id="12" w:name="检验验收情况；"/>
      <w:bookmarkEnd w:id="12"/>
      <w:r>
        <w:rPr>
          <w:rFonts w:hint="eastAsia" w:ascii="仿宋" w:hAnsi="仿宋" w:eastAsia="仿宋" w:cs="仿宋"/>
          <w:kern w:val="0"/>
          <w:sz w:val="32"/>
          <w:szCs w:val="32"/>
        </w:rPr>
        <w:t>f) 检验验收情况；</w:t>
      </w:r>
    </w:p>
    <w:p>
      <w:pPr>
        <w:tabs>
          <w:tab w:val="left" w:pos="1187"/>
          <w:tab w:val="left" w:pos="1188"/>
        </w:tabs>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g) 其他。</w:t>
      </w:r>
      <w:bookmarkStart w:id="13" w:name="7.2_生产过程记录"/>
      <w:bookmarkEnd w:id="13"/>
    </w:p>
    <w:p>
      <w:pPr>
        <w:tabs>
          <w:tab w:val="left" w:pos="1187"/>
          <w:tab w:val="left" w:pos="1188"/>
        </w:tabs>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2）、生产过程记录</w:t>
      </w:r>
    </w:p>
    <w:p>
      <w:pPr>
        <w:spacing w:line="600" w:lineRule="exact"/>
        <w:ind w:left="116"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在执行第6章所规定的各个阶段的程序指示过程中，记录并保持以下内容：</w:t>
      </w:r>
      <w:bookmarkStart w:id="14" w:name="生产批号；"/>
      <w:bookmarkEnd w:id="14"/>
    </w:p>
    <w:p>
      <w:pPr>
        <w:spacing w:line="600" w:lineRule="exact"/>
        <w:ind w:left="116"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a) 生产批号；</w:t>
      </w:r>
      <w:bookmarkStart w:id="15" w:name="生产日期；"/>
      <w:bookmarkEnd w:id="15"/>
    </w:p>
    <w:p>
      <w:pPr>
        <w:spacing w:line="600" w:lineRule="exact"/>
        <w:ind w:left="116"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b) 生产日期；</w:t>
      </w:r>
      <w:bookmarkStart w:id="16" w:name="生产班组；"/>
      <w:bookmarkEnd w:id="16"/>
    </w:p>
    <w:p>
      <w:pPr>
        <w:spacing w:line="600" w:lineRule="exact"/>
        <w:ind w:left="116"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c) 生产班组；</w:t>
      </w:r>
    </w:p>
    <w:p>
      <w:pPr>
        <w:tabs>
          <w:tab w:val="left" w:pos="1187"/>
          <w:tab w:val="left" w:pos="1188"/>
        </w:tabs>
        <w:spacing w:line="600" w:lineRule="exact"/>
        <w:ind w:firstLine="640" w:firstLineChars="200"/>
        <w:jc w:val="left"/>
        <w:rPr>
          <w:rFonts w:ascii="仿宋" w:hAnsi="仿宋" w:eastAsia="仿宋" w:cs="仿宋"/>
          <w:kern w:val="0"/>
          <w:sz w:val="32"/>
          <w:szCs w:val="32"/>
        </w:rPr>
      </w:pPr>
      <w:bookmarkStart w:id="17" w:name="产品数量；"/>
      <w:bookmarkEnd w:id="17"/>
      <w:r>
        <w:rPr>
          <w:rFonts w:hint="eastAsia" w:ascii="仿宋" w:hAnsi="仿宋" w:eastAsia="仿宋" w:cs="仿宋"/>
          <w:kern w:val="0"/>
          <w:sz w:val="32"/>
          <w:szCs w:val="32"/>
        </w:rPr>
        <w:t>d) 产品数量；</w:t>
      </w:r>
    </w:p>
    <w:p>
      <w:pPr>
        <w:tabs>
          <w:tab w:val="left" w:pos="1187"/>
          <w:tab w:val="left" w:pos="1188"/>
        </w:tabs>
        <w:spacing w:line="600" w:lineRule="exact"/>
        <w:ind w:right="320" w:firstLine="640" w:firstLineChars="200"/>
        <w:jc w:val="left"/>
        <w:rPr>
          <w:rFonts w:ascii="仿宋" w:hAnsi="仿宋" w:eastAsia="仿宋" w:cs="仿宋"/>
          <w:kern w:val="0"/>
          <w:sz w:val="32"/>
          <w:szCs w:val="32"/>
        </w:rPr>
      </w:pPr>
      <w:bookmarkStart w:id="18" w:name="关键控制点的监控记录、纠偏措施和验证记录"/>
      <w:bookmarkEnd w:id="18"/>
      <w:r>
        <w:rPr>
          <w:rFonts w:hint="eastAsia" w:ascii="仿宋" w:hAnsi="仿宋" w:eastAsia="仿宋" w:cs="仿宋"/>
          <w:kern w:val="0"/>
          <w:sz w:val="32"/>
          <w:szCs w:val="32"/>
        </w:rPr>
        <w:t>e) 关键控制点的监控记录、纠偏措施和验证记录</w:t>
      </w:r>
    </w:p>
    <w:p>
      <w:pPr>
        <w:tabs>
          <w:tab w:val="left" w:pos="1187"/>
          <w:tab w:val="left" w:pos="1188"/>
        </w:tabs>
        <w:spacing w:line="600" w:lineRule="exact"/>
        <w:ind w:right="1280" w:firstLine="640" w:firstLineChars="200"/>
        <w:rPr>
          <w:rFonts w:ascii="仿宋" w:hAnsi="仿宋" w:eastAsia="仿宋" w:cs="仿宋"/>
          <w:kern w:val="0"/>
          <w:sz w:val="32"/>
          <w:szCs w:val="32"/>
        </w:rPr>
      </w:pPr>
      <w:bookmarkStart w:id="19" w:name="监控仪器校正记录；"/>
      <w:bookmarkEnd w:id="19"/>
      <w:r>
        <w:rPr>
          <w:rFonts w:hint="eastAsia" w:ascii="仿宋" w:hAnsi="仿宋" w:eastAsia="仿宋" w:cs="仿宋"/>
          <w:kern w:val="0"/>
          <w:sz w:val="32"/>
          <w:szCs w:val="32"/>
        </w:rPr>
        <w:t>f) 监控仪器校正记录；</w:t>
      </w:r>
    </w:p>
    <w:p>
      <w:pPr>
        <w:tabs>
          <w:tab w:val="left" w:pos="1187"/>
          <w:tab w:val="left" w:pos="1188"/>
        </w:tabs>
        <w:spacing w:line="600" w:lineRule="exact"/>
        <w:ind w:firstLine="640" w:firstLineChars="200"/>
        <w:jc w:val="left"/>
        <w:rPr>
          <w:rFonts w:ascii="仿宋" w:hAnsi="仿宋" w:eastAsia="仿宋" w:cs="仿宋"/>
          <w:kern w:val="0"/>
          <w:sz w:val="32"/>
          <w:szCs w:val="32"/>
        </w:rPr>
      </w:pPr>
      <w:bookmarkStart w:id="20" w:name="成品检验记录；"/>
      <w:bookmarkEnd w:id="20"/>
      <w:r>
        <w:rPr>
          <w:rFonts w:hint="eastAsia" w:ascii="仿宋" w:hAnsi="仿宋" w:eastAsia="仿宋" w:cs="仿宋"/>
          <w:kern w:val="0"/>
          <w:sz w:val="32"/>
          <w:szCs w:val="32"/>
        </w:rPr>
        <w:t>g) 成品检验记录；</w:t>
      </w:r>
    </w:p>
    <w:p>
      <w:pPr>
        <w:tabs>
          <w:tab w:val="left" w:pos="1187"/>
          <w:tab w:val="left" w:pos="1188"/>
        </w:tabs>
        <w:spacing w:line="600" w:lineRule="exact"/>
        <w:ind w:right="1600" w:firstLine="640" w:firstLineChars="200"/>
        <w:rPr>
          <w:rFonts w:ascii="仿宋" w:hAnsi="仿宋" w:eastAsia="仿宋" w:cs="仿宋"/>
          <w:kern w:val="0"/>
          <w:sz w:val="32"/>
          <w:szCs w:val="32"/>
        </w:rPr>
      </w:pPr>
      <w:bookmarkStart w:id="21" w:name="次品处理记录；"/>
      <w:bookmarkEnd w:id="21"/>
      <w:r>
        <w:rPr>
          <w:rFonts w:hint="eastAsia" w:ascii="仿宋" w:hAnsi="仿宋" w:eastAsia="仿宋" w:cs="仿宋"/>
          <w:kern w:val="0"/>
          <w:sz w:val="32"/>
          <w:szCs w:val="32"/>
        </w:rPr>
        <w:t>h) 次品处理记录；</w:t>
      </w:r>
    </w:p>
    <w:p>
      <w:pPr>
        <w:tabs>
          <w:tab w:val="left" w:pos="1187"/>
          <w:tab w:val="left" w:pos="1188"/>
        </w:tabs>
        <w:spacing w:line="600" w:lineRule="exact"/>
        <w:ind w:right="640" w:firstLine="640" w:firstLineChars="200"/>
        <w:jc w:val="left"/>
        <w:rPr>
          <w:rFonts w:ascii="仿宋" w:hAnsi="仿宋" w:eastAsia="仿宋" w:cs="仿宋"/>
          <w:kern w:val="0"/>
          <w:sz w:val="32"/>
          <w:szCs w:val="32"/>
        </w:rPr>
      </w:pPr>
      <w:bookmarkStart w:id="22" w:name="其他。"/>
      <w:bookmarkEnd w:id="22"/>
      <w:r>
        <w:rPr>
          <w:rFonts w:hint="eastAsia" w:ascii="仿宋" w:hAnsi="仿宋" w:eastAsia="仿宋" w:cs="仿宋"/>
          <w:kern w:val="0"/>
          <w:sz w:val="32"/>
          <w:szCs w:val="32"/>
        </w:rPr>
        <w:t>i) 其他。</w:t>
      </w:r>
      <w:bookmarkStart w:id="23" w:name="7.3_档案管理"/>
      <w:bookmarkEnd w:id="23"/>
    </w:p>
    <w:p>
      <w:pPr>
        <w:tabs>
          <w:tab w:val="left" w:pos="1187"/>
          <w:tab w:val="left" w:pos="1188"/>
        </w:tabs>
        <w:spacing w:line="600" w:lineRule="exact"/>
        <w:ind w:right="640"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3）、档案管理</w:t>
      </w:r>
    </w:p>
    <w:p>
      <w:pPr>
        <w:tabs>
          <w:tab w:val="left" w:pos="1187"/>
          <w:tab w:val="left" w:pos="1188"/>
        </w:tabs>
        <w:spacing w:line="360" w:lineRule="auto"/>
        <w:ind w:right="640"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建立完整的质量管理档案，各种记录分类装订、归档，记录的保存时间不少于产品保质期满后六个月；没有明确保质期的，保存期限自生产日期始不少于二年。</w:t>
      </w:r>
    </w:p>
    <w:p>
      <w:pPr>
        <w:spacing w:line="360" w:lineRule="auto"/>
        <w:rPr>
          <w:rFonts w:ascii="仿宋" w:hAnsi="仿宋" w:eastAsia="仿宋" w:cs="仿宋"/>
          <w:b/>
          <w:kern w:val="0"/>
          <w:sz w:val="32"/>
          <w:szCs w:val="32"/>
        </w:rPr>
      </w:pPr>
      <w:r>
        <w:rPr>
          <w:rFonts w:hint="eastAsia" w:ascii="仿宋" w:hAnsi="仿宋" w:eastAsia="仿宋" w:cs="仿宋"/>
          <w:b/>
          <w:kern w:val="0"/>
          <w:sz w:val="32"/>
          <w:szCs w:val="32"/>
        </w:rPr>
        <w:t>六、国内外标准对比以及采标程度</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无。</w:t>
      </w:r>
    </w:p>
    <w:p>
      <w:pPr>
        <w:spacing w:line="360" w:lineRule="auto"/>
        <w:rPr>
          <w:rFonts w:ascii="仿宋" w:hAnsi="仿宋" w:eastAsia="仿宋" w:cs="仿宋"/>
          <w:b/>
          <w:kern w:val="0"/>
          <w:sz w:val="32"/>
          <w:szCs w:val="32"/>
        </w:rPr>
      </w:pPr>
      <w:r>
        <w:rPr>
          <w:rFonts w:hint="eastAsia" w:ascii="仿宋" w:hAnsi="仿宋" w:eastAsia="仿宋" w:cs="仿宋"/>
          <w:b/>
          <w:kern w:val="0"/>
          <w:sz w:val="32"/>
          <w:szCs w:val="32"/>
        </w:rPr>
        <w:t>七、与有关的现行法律、法规和强制性标准的关系</w:t>
      </w:r>
    </w:p>
    <w:p>
      <w:pPr>
        <w:pStyle w:val="2"/>
        <w:tabs>
          <w:tab w:val="left" w:pos="1520"/>
        </w:tabs>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加工车间、设施与设备、卫生管理及生产过程的食品安全控制引用GB 20941《食品安全国家标准 水产制品生产卫生规范》；加工用水为饮用水或清洁海水，饮用水符合GB 5749 《生活饮用水卫生标准的规定》、清洁海水符合GB 5749《生活饮用水卫生标准中》的微生物、污染物和要求且不含异物；</w:t>
      </w:r>
      <w:r>
        <w:rPr>
          <w:rFonts w:ascii="仿宋" w:hAnsi="仿宋" w:eastAsia="仿宋" w:cs="仿宋"/>
          <w:kern w:val="0"/>
          <w:sz w:val="32"/>
          <w:szCs w:val="32"/>
        </w:rPr>
        <w:t xml:space="preserve"> </w:t>
      </w:r>
      <w:bookmarkStart w:id="24" w:name="4.3_加工用食品添加剂的品种及用量符合GB_2760的规定。"/>
      <w:bookmarkEnd w:id="24"/>
      <w:r>
        <w:rPr>
          <w:rFonts w:hint="eastAsia" w:ascii="仿宋" w:hAnsi="仿宋" w:eastAsia="仿宋" w:cs="仿宋"/>
          <w:kern w:val="0"/>
          <w:sz w:val="32"/>
          <w:szCs w:val="32"/>
        </w:rPr>
        <w:t>加工用食品添加剂引用GB 2760《食品安全国家标准 食品添加剂使用标准》；加工用食盐引用 GB 2721《食品安全国家标准 食用盐》；加工用植物油引用GB 2716《食品安全国家标准 植物油》；鲜活鱼品品质引用GB 2733《食品安全国家标准 鲜、冻动物性水产品》、GB/T 18108《鲜海水鱼通则》；外内包装材料引用SC/T 3035《水产品包装、标识通则》；预包装产品净含量引用JJF 1070《定量包装商品净含量计量检验规则》；预包装产品的标签引用 GB 7718《食品安全国家标准 预包装食品标签通则》、GB 28050《食品安全国家标准 预包装食品营养标签通则》；运输包装上的图示标志引用GB/T 191《包装储运图示标志》。</w:t>
      </w:r>
    </w:p>
    <w:p>
      <w:pPr>
        <w:pStyle w:val="2"/>
        <w:tabs>
          <w:tab w:val="left" w:pos="1520"/>
        </w:tabs>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本标准与有关的现行法律、法规和强制性标准不冲突。</w:t>
      </w:r>
    </w:p>
    <w:p>
      <w:pPr>
        <w:spacing w:line="360" w:lineRule="auto"/>
        <w:rPr>
          <w:rFonts w:ascii="仿宋" w:hAnsi="仿宋" w:eastAsia="仿宋" w:cs="仿宋"/>
          <w:b/>
          <w:kern w:val="0"/>
          <w:sz w:val="32"/>
          <w:szCs w:val="32"/>
        </w:rPr>
      </w:pPr>
      <w:r>
        <w:rPr>
          <w:rFonts w:hint="eastAsia" w:ascii="仿宋" w:hAnsi="仿宋" w:eastAsia="仿宋" w:cs="仿宋"/>
          <w:b/>
          <w:kern w:val="0"/>
          <w:sz w:val="32"/>
          <w:szCs w:val="32"/>
        </w:rPr>
        <w:t>八、标准作为强制性标准或推荐性标准的建议</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建议本标准作为推荐性标准。</w:t>
      </w:r>
    </w:p>
    <w:p>
      <w:pPr>
        <w:spacing w:line="360" w:lineRule="auto"/>
        <w:ind w:firstLine="640" w:firstLineChars="200"/>
        <w:rPr>
          <w:rFonts w:ascii="仿宋" w:hAnsi="仿宋" w:eastAsia="仿宋" w:cs="仿宋"/>
          <w:kern w:val="0"/>
          <w:sz w:val="32"/>
          <w:szCs w:val="32"/>
        </w:rPr>
      </w:pPr>
    </w:p>
    <w:p>
      <w:pPr>
        <w:spacing w:line="360" w:lineRule="auto"/>
        <w:ind w:firstLine="640" w:firstLineChars="200"/>
        <w:jc w:val="right"/>
        <w:rPr>
          <w:rFonts w:ascii="仿宋" w:hAnsi="仿宋" w:eastAsia="仿宋" w:cs="仿宋"/>
          <w:kern w:val="0"/>
          <w:sz w:val="32"/>
          <w:szCs w:val="32"/>
        </w:rPr>
      </w:pPr>
      <w:r>
        <w:rPr>
          <w:rFonts w:hint="eastAsia" w:ascii="仿宋" w:hAnsi="仿宋" w:eastAsia="仿宋" w:cs="仿宋"/>
          <w:kern w:val="0"/>
          <w:sz w:val="32"/>
          <w:szCs w:val="32"/>
        </w:rPr>
        <w:t xml:space="preserve">    《盐制金鲳鱼加工技术规程》标准起草小组</w:t>
      </w:r>
    </w:p>
    <w:p>
      <w:pPr>
        <w:spacing w:line="360" w:lineRule="auto"/>
        <w:ind w:firstLine="640" w:firstLineChars="200"/>
        <w:jc w:val="right"/>
        <w:rPr>
          <w:rFonts w:ascii="仿宋" w:hAnsi="仿宋" w:eastAsia="仿宋" w:cs="仿宋"/>
          <w:kern w:val="0"/>
          <w:sz w:val="32"/>
          <w:szCs w:val="32"/>
        </w:rPr>
      </w:pPr>
      <w:r>
        <w:rPr>
          <w:rFonts w:hint="eastAsia" w:ascii="仿宋" w:hAnsi="仿宋" w:eastAsia="仿宋" w:cs="仿宋"/>
          <w:kern w:val="0"/>
          <w:sz w:val="32"/>
          <w:szCs w:val="32"/>
        </w:rPr>
        <w:t>2023年7月</w:t>
      </w:r>
      <w:bookmarkStart w:id="25" w:name="_GoBack"/>
      <w:bookmarkEnd w:id="25"/>
      <w:r>
        <w:rPr>
          <w:rFonts w:hint="eastAsia" w:ascii="仿宋" w:hAnsi="仿宋" w:eastAsia="仿宋" w:cs="仿宋"/>
          <w:kern w:val="0"/>
          <w:sz w:val="32"/>
          <w:szCs w:val="32"/>
          <w:lang w:val="en-US" w:eastAsia="zh-CN"/>
        </w:rPr>
        <w:t>18</w:t>
      </w:r>
      <w:r>
        <w:rPr>
          <w:rFonts w:hint="eastAsia" w:ascii="仿宋" w:hAnsi="仿宋" w:eastAsia="仿宋" w:cs="仿宋"/>
          <w:kern w:val="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jZTk0ZmYyNmQ4NWEzYjU0NmNiOGJiMDkzZTdlZGIifQ=="/>
  </w:docVars>
  <w:rsids>
    <w:rsidRoot w:val="008441EC"/>
    <w:rsid w:val="000445FA"/>
    <w:rsid w:val="0004755E"/>
    <w:rsid w:val="002117CF"/>
    <w:rsid w:val="002368C2"/>
    <w:rsid w:val="002D7D54"/>
    <w:rsid w:val="002E1B2A"/>
    <w:rsid w:val="00314765"/>
    <w:rsid w:val="003A6729"/>
    <w:rsid w:val="003C6BE1"/>
    <w:rsid w:val="003F08DF"/>
    <w:rsid w:val="00452B31"/>
    <w:rsid w:val="004627D2"/>
    <w:rsid w:val="004B26D7"/>
    <w:rsid w:val="004D09BA"/>
    <w:rsid w:val="004E7AE0"/>
    <w:rsid w:val="00513F7B"/>
    <w:rsid w:val="005D3F94"/>
    <w:rsid w:val="005F3271"/>
    <w:rsid w:val="00636C91"/>
    <w:rsid w:val="006428C7"/>
    <w:rsid w:val="006555F9"/>
    <w:rsid w:val="0067223B"/>
    <w:rsid w:val="006A12B2"/>
    <w:rsid w:val="006D0973"/>
    <w:rsid w:val="007146CE"/>
    <w:rsid w:val="007550B3"/>
    <w:rsid w:val="00756B17"/>
    <w:rsid w:val="008026B7"/>
    <w:rsid w:val="008441EC"/>
    <w:rsid w:val="008968FA"/>
    <w:rsid w:val="0094777C"/>
    <w:rsid w:val="00954050"/>
    <w:rsid w:val="009A1054"/>
    <w:rsid w:val="00AA01A0"/>
    <w:rsid w:val="00AC3BBF"/>
    <w:rsid w:val="00B24731"/>
    <w:rsid w:val="00B50464"/>
    <w:rsid w:val="00B77FC4"/>
    <w:rsid w:val="00B92391"/>
    <w:rsid w:val="00BA2A65"/>
    <w:rsid w:val="00C411C6"/>
    <w:rsid w:val="00CF46FD"/>
    <w:rsid w:val="00D04B70"/>
    <w:rsid w:val="00D32D48"/>
    <w:rsid w:val="00D9101F"/>
    <w:rsid w:val="00D93BB5"/>
    <w:rsid w:val="00DB71A2"/>
    <w:rsid w:val="00DC0202"/>
    <w:rsid w:val="00E176E2"/>
    <w:rsid w:val="00E6332E"/>
    <w:rsid w:val="00EB099B"/>
    <w:rsid w:val="00F51ECA"/>
    <w:rsid w:val="00FF37BF"/>
    <w:rsid w:val="011253ED"/>
    <w:rsid w:val="03B60F82"/>
    <w:rsid w:val="03CC21CB"/>
    <w:rsid w:val="05F3261C"/>
    <w:rsid w:val="06DE46EF"/>
    <w:rsid w:val="08966067"/>
    <w:rsid w:val="0AC92FC0"/>
    <w:rsid w:val="0F162350"/>
    <w:rsid w:val="10DE52EC"/>
    <w:rsid w:val="127557DC"/>
    <w:rsid w:val="14FC0E0C"/>
    <w:rsid w:val="15DC2A9D"/>
    <w:rsid w:val="16476D88"/>
    <w:rsid w:val="1A720FC8"/>
    <w:rsid w:val="1C31165F"/>
    <w:rsid w:val="1CC7757C"/>
    <w:rsid w:val="20487EB2"/>
    <w:rsid w:val="21050673"/>
    <w:rsid w:val="27BA0A6C"/>
    <w:rsid w:val="2A7C7BF7"/>
    <w:rsid w:val="2A90517D"/>
    <w:rsid w:val="2B596BE2"/>
    <w:rsid w:val="2DD815E9"/>
    <w:rsid w:val="30113EA6"/>
    <w:rsid w:val="310149B3"/>
    <w:rsid w:val="32195D2C"/>
    <w:rsid w:val="33D46E5B"/>
    <w:rsid w:val="345B087E"/>
    <w:rsid w:val="432D16D8"/>
    <w:rsid w:val="4418681D"/>
    <w:rsid w:val="441D2833"/>
    <w:rsid w:val="4662591D"/>
    <w:rsid w:val="46BC33FE"/>
    <w:rsid w:val="46F030A7"/>
    <w:rsid w:val="47881532"/>
    <w:rsid w:val="4942785E"/>
    <w:rsid w:val="4CB15087"/>
    <w:rsid w:val="4E0C3561"/>
    <w:rsid w:val="50354221"/>
    <w:rsid w:val="51D81308"/>
    <w:rsid w:val="52304CA0"/>
    <w:rsid w:val="55EF5DB0"/>
    <w:rsid w:val="591A3FB4"/>
    <w:rsid w:val="5A4140BD"/>
    <w:rsid w:val="5E355B65"/>
    <w:rsid w:val="617D5A7A"/>
    <w:rsid w:val="623D33C8"/>
    <w:rsid w:val="63950E07"/>
    <w:rsid w:val="648A0240"/>
    <w:rsid w:val="66342B59"/>
    <w:rsid w:val="6974326C"/>
    <w:rsid w:val="6C535651"/>
    <w:rsid w:val="75ED1F3B"/>
    <w:rsid w:val="76FA6CCC"/>
    <w:rsid w:val="79915775"/>
    <w:rsid w:val="7A5E5F9F"/>
    <w:rsid w:val="7E7F64E4"/>
    <w:rsid w:val="7F0C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cs="宋体"/>
      <w:szCs w:val="21"/>
    </w:rPr>
  </w:style>
  <w:style w:type="paragraph" w:styleId="3">
    <w:name w:val="Plain Text"/>
    <w:basedOn w:val="1"/>
    <w:qFormat/>
    <w:uiPriority w:val="0"/>
    <w:rPr>
      <w:rFonts w:ascii="宋体" w:hAnsi="Courier New"/>
      <w:szCs w:val="20"/>
    </w:rPr>
  </w:style>
  <w:style w:type="paragraph" w:styleId="4">
    <w:name w:val="Balloon Text"/>
    <w:basedOn w:val="1"/>
    <w:link w:val="13"/>
    <w:uiPriority w:val="0"/>
    <w:rPr>
      <w:sz w:val="18"/>
      <w:szCs w:val="18"/>
    </w:rPr>
  </w:style>
  <w:style w:type="paragraph" w:styleId="5">
    <w:name w:val="footer"/>
    <w:basedOn w:val="1"/>
    <w:link w:val="15"/>
    <w:uiPriority w:val="0"/>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customStyle="1" w:styleId="9">
    <w:name w:val="msolistparagraph"/>
    <w:basedOn w:val="1"/>
    <w:qFormat/>
    <w:uiPriority w:val="0"/>
    <w:pPr>
      <w:ind w:firstLine="420" w:firstLineChars="200"/>
    </w:pPr>
  </w:style>
  <w:style w:type="paragraph" w:customStyle="1" w:styleId="10">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
    <w:name w:val="Table Paragraph"/>
    <w:basedOn w:val="1"/>
    <w:qFormat/>
    <w:uiPriority w:val="1"/>
    <w:rPr>
      <w:rFonts w:ascii="宋体" w:hAnsi="宋体" w:cs="宋体"/>
    </w:rPr>
  </w:style>
  <w:style w:type="paragraph" w:styleId="12">
    <w:name w:val="List Paragraph"/>
    <w:basedOn w:val="1"/>
    <w:qFormat/>
    <w:uiPriority w:val="1"/>
    <w:pPr>
      <w:ind w:left="1187"/>
    </w:pPr>
    <w:rPr>
      <w:rFonts w:ascii="宋体" w:hAnsi="宋体" w:cs="宋体"/>
    </w:rPr>
  </w:style>
  <w:style w:type="character" w:customStyle="1" w:styleId="13">
    <w:name w:val="批注框文本 Char"/>
    <w:basedOn w:val="8"/>
    <w:link w:val="4"/>
    <w:uiPriority w:val="0"/>
    <w:rPr>
      <w:rFonts w:ascii="Calibri" w:hAnsi="Calibri" w:eastAsia="宋体" w:cs="Times New Roman"/>
      <w:kern w:val="2"/>
      <w:sz w:val="18"/>
      <w:szCs w:val="18"/>
    </w:rPr>
  </w:style>
  <w:style w:type="character" w:customStyle="1" w:styleId="14">
    <w:name w:val="页眉 Char"/>
    <w:basedOn w:val="8"/>
    <w:link w:val="6"/>
    <w:uiPriority w:val="0"/>
    <w:rPr>
      <w:rFonts w:ascii="Calibri" w:hAnsi="Calibri" w:eastAsia="宋体" w:cs="Times New Roman"/>
      <w:kern w:val="2"/>
      <w:sz w:val="18"/>
      <w:szCs w:val="18"/>
    </w:rPr>
  </w:style>
  <w:style w:type="character" w:customStyle="1" w:styleId="15">
    <w:name w:val="页脚 Char"/>
    <w:basedOn w:val="8"/>
    <w:link w:val="5"/>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8</Pages>
  <Words>2883</Words>
  <Characters>3040</Characters>
  <Lines>22</Lines>
  <Paragraphs>6</Paragraphs>
  <TotalTime>39</TotalTime>
  <ScaleCrop>false</ScaleCrop>
  <LinksUpToDate>false</LinksUpToDate>
  <CharactersWithSpaces>3112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2023-07-06T00:43:00Z</dcterms:created>
  <dc:creator>admin</dc:creator>
  <cp:lastModifiedBy>WPS_1338739717</cp:lastModifiedBy>
  <dcterms:modified xsi:type="dcterms:W3CDTF">2023-07-18T07:24:10Z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FA9352EE6F034844B3BB4784CE87FB54_12</vt:lpwstr>
  </property>
</Properties>
</file>