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2022年湛江市市场监督管理局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“三公”经费预算支出情况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“三公”经费安排情况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bookmarkStart w:id="0" w:name="PO_part3A2Year1"/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2022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年本部门财政拨款安排“三公”经费</w:t>
      </w:r>
      <w:bookmarkStart w:id="1" w:name="PO_part3A2Amount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129.2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2" w:name="PO_part3A2IncAmount1"/>
      <w:r>
        <w:rPr>
          <w:rFonts w:hint="eastAsia" w:ascii="仿宋_GB2312" w:hAnsi="仿宋_GB2312" w:eastAsia="仿宋_GB2312" w:cs="仿宋_GB2312"/>
          <w:sz w:val="30"/>
          <w:szCs w:val="30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71.33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3" w:name="PO_part3A2IncPercent1"/>
      <w:r>
        <w:rPr>
          <w:rFonts w:hint="eastAsia" w:ascii="仿宋_GB2312" w:hAnsi="仿宋_GB2312" w:eastAsia="仿宋_GB2312" w:cs="仿宋_GB2312"/>
          <w:sz w:val="30"/>
          <w:szCs w:val="30"/>
        </w:rPr>
        <w:t>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35.6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4" w:name="PO_part3A2IncReason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一是厉行节约，减少接待费支出；二是减少省级执法用车购置专项资金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0"/>
          <w:szCs w:val="30"/>
        </w:rPr>
        <w:t>。其中：因公出国（境）费</w:t>
      </w:r>
      <w:bookmarkStart w:id="5" w:name="PO_part3A2Amount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6" w:name="PO_part3A2IncAmount2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7" w:name="PO_part3A2IncPercent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下降100.0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8" w:name="PO_part3A2IncReason2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本年没有因公出国计划，没有因公出国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费用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0"/>
          <w:szCs w:val="30"/>
        </w:rPr>
        <w:t>；公务用车购置及运行费</w:t>
      </w:r>
      <w:bookmarkStart w:id="9" w:name="PO_part3A2Amount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116.4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0"/>
          <w:szCs w:val="30"/>
        </w:rPr>
        <w:t>万元（公务用车购置费</w:t>
      </w:r>
      <w:bookmarkStart w:id="10" w:name="PO_part3A2Amount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1" w:name="PO_part3A2IncAmount5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减少39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公务用车运行维护费</w:t>
      </w:r>
      <w:bookmarkStart w:id="12" w:name="PO_part3A2Amount5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98.4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3" w:name="PO_part3A2IncAmount6"/>
      <w:r>
        <w:rPr>
          <w:rFonts w:hint="eastAsia" w:ascii="仿宋_GB2312" w:hAnsi="仿宋_GB2312" w:eastAsia="仿宋_GB2312" w:cs="仿宋_GB2312"/>
          <w:sz w:val="30"/>
          <w:szCs w:val="30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0.88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万元。）</w:t>
      </w:r>
      <w:r>
        <w:rPr>
          <w:rFonts w:hint="eastAsia" w:ascii="仿宋_GB2312" w:hAnsi="仿宋_GB2312" w:eastAsia="仿宋_GB2312" w:cs="仿宋_GB2312"/>
          <w:sz w:val="30"/>
          <w:szCs w:val="30"/>
        </w:rPr>
        <w:t>比上年</w:t>
      </w:r>
      <w:bookmarkStart w:id="14" w:name="PO_part3A2IncAmount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减少39.88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5" w:name="PO_part3A2IncPercent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下降25.5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6" w:name="PO_part3A2IncReason3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减少省级执法用车购置专项资金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0"/>
          <w:szCs w:val="30"/>
        </w:rPr>
        <w:t>；公务接待费</w:t>
      </w:r>
      <w:bookmarkStart w:id="17" w:name="PO_part3A2Amount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12.8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8" w:name="PO_part3A2IncAmount4"/>
      <w:r>
        <w:rPr>
          <w:rFonts w:hint="eastAsia" w:ascii="仿宋_GB2312" w:hAnsi="仿宋_GB2312" w:eastAsia="仿宋_GB2312" w:cs="仿宋_GB2312"/>
          <w:sz w:val="30"/>
          <w:szCs w:val="30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26.95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9" w:name="PO_part3A2IncPercent4"/>
      <w:r>
        <w:rPr>
          <w:rFonts w:hint="eastAsia" w:ascii="仿宋_GB2312" w:hAnsi="仿宋_GB2312" w:eastAsia="仿宋_GB2312" w:cs="仿宋_GB2312"/>
          <w:sz w:val="30"/>
          <w:szCs w:val="30"/>
        </w:rPr>
        <w:t>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67.8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9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20" w:name="PO_part3A2IncReason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厉行节约，减少接待费支出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0"/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bookmarkStart w:id="23" w:name="_GoBack"/>
      <w:bookmarkEnd w:id="23"/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名词解释</w:t>
      </w:r>
    </w:p>
    <w:p>
      <w:pPr>
        <w:spacing w:line="288" w:lineRule="auto"/>
        <w:ind w:firstLine="321" w:firstLineChars="100"/>
        <w:rPr>
          <w:rFonts w:hint="eastAsia" w:ascii="仿宋_GB2312" w:eastAsia="仿宋_GB2312"/>
          <w:sz w:val="32"/>
          <w:szCs w:val="32"/>
        </w:rPr>
        <w:sectPr>
          <w:pgSz w:w="11906" w:h="16838"/>
          <w:pgMar w:top="1270" w:right="1800" w:bottom="1157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b/>
          <w:sz w:val="32"/>
          <w:szCs w:val="32"/>
        </w:rPr>
        <w:t>“三公”经费：</w:t>
      </w: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1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湛江市市场监督管理局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2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2288.70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1561.70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727.00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129.20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spacing w:line="288" w:lineRule="auto"/>
        <w:ind w:firstLine="18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2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 w:bidi="ar"/>
        </w:rPr>
        <w:t>无。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2"/>
    </w:p>
    <w:p>
      <w:pPr>
        <w:numPr>
          <w:ilvl w:val="0"/>
          <w:numId w:val="0"/>
        </w:numPr>
        <w:ind w:left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3" w:right="1270" w:bottom="1803" w:left="115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GUyZDJjNjc5Mzk2NjQzMWVjN2NiMTBhNTQzNzMifQ=="/>
  </w:docVars>
  <w:rsids>
    <w:rsidRoot w:val="00000000"/>
    <w:rsid w:val="04B5103D"/>
    <w:rsid w:val="258A06CF"/>
    <w:rsid w:val="309365DF"/>
    <w:rsid w:val="67A94AB0"/>
    <w:rsid w:val="7A2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784</Characters>
  <Lines>0</Lines>
  <Paragraphs>0</Paragraphs>
  <TotalTime>0</TotalTime>
  <ScaleCrop>false</ScaleCrop>
  <LinksUpToDate>false</LinksUpToDate>
  <CharactersWithSpaces>886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kkk</dc:creator>
  <cp:lastModifiedBy>cici</cp:lastModifiedBy>
  <dcterms:modified xsi:type="dcterms:W3CDTF">2023-08-09T04:09:41Z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5FD47A83598C421EB08F10BCF2A11C67</vt:lpwstr>
  </property>
</Properties>
</file>