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CESI仿宋-GB2312" w:hAnsi="CESI仿宋-GB2312" w:eastAsia="CESI仿宋-GB2312" w:cs="CESI仿宋-GB2312"/>
          <w:sz w:val="32"/>
          <w:szCs w:val="32"/>
          <w:lang w:val="en-US" w:eastAsia="zh-CN"/>
        </w:rPr>
      </w:pPr>
      <w:bookmarkStart w:id="0" w:name="_Toc512412961"/>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lang w:val="en-US" w:eastAsia="zh-CN"/>
        </w:rPr>
        <w:t>1</w:t>
      </w:r>
    </w:p>
    <w:p>
      <w:pPr>
        <w:pStyle w:val="6"/>
        <w:keepNext w:val="0"/>
        <w:keepLines w:val="0"/>
        <w:pageBreakBefore w:val="0"/>
        <w:kinsoku/>
        <w:overflowPunct/>
        <w:topLinePunct w:val="0"/>
        <w:autoSpaceDE/>
        <w:autoSpaceDN w:val="0"/>
        <w:bidi w:val="0"/>
        <w:adjustRightInd/>
        <w:snapToGrid/>
        <w:spacing w:line="60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商标</w:t>
      </w:r>
      <w:r>
        <w:rPr>
          <w:rFonts w:hint="default" w:ascii="Times New Roman" w:hAnsi="Times New Roman" w:eastAsia="方正小标宋简体" w:cs="Times New Roman"/>
          <w:sz w:val="44"/>
          <w:szCs w:val="44"/>
          <w:lang w:eastAsia="zh-CN"/>
        </w:rPr>
        <w:t>代理</w:t>
      </w:r>
      <w:r>
        <w:rPr>
          <w:rFonts w:hint="eastAsia" w:ascii="Times New Roman" w:hAnsi="Times New Roman" w:eastAsia="方正小标宋简体" w:cs="Times New Roman"/>
          <w:sz w:val="44"/>
          <w:szCs w:val="44"/>
          <w:lang w:val="en-US" w:eastAsia="zh-CN"/>
        </w:rPr>
        <w:t>机构</w:t>
      </w:r>
      <w:r>
        <w:rPr>
          <w:rFonts w:hint="default" w:ascii="Times New Roman" w:hAnsi="Times New Roman" w:eastAsia="方正小标宋简体" w:cs="Times New Roman"/>
          <w:sz w:val="44"/>
          <w:szCs w:val="44"/>
        </w:rPr>
        <w:t>检查工作指引</w:t>
      </w:r>
    </w:p>
    <w:p>
      <w:pPr>
        <w:pStyle w:val="6"/>
        <w:keepNext w:val="0"/>
        <w:keepLines w:val="0"/>
        <w:pageBreakBefore w:val="0"/>
        <w:widowControl/>
        <w:kinsoku/>
        <w:wordWrap/>
        <w:overflowPunct/>
        <w:topLinePunct w:val="0"/>
        <w:autoSpaceDE/>
        <w:autoSpaceDN w:val="0"/>
        <w:bidi w:val="0"/>
        <w:adjustRightInd/>
        <w:snapToGrid/>
        <w:spacing w:line="400" w:lineRule="exact"/>
        <w:ind w:firstLine="561"/>
        <w:textAlignment w:val="auto"/>
        <w:rPr>
          <w:rFonts w:hint="default" w:ascii="Times New Roman" w:hAnsi="Times New Roman" w:eastAsia="黑体" w:cs="Times New Roman"/>
          <w:sz w:val="16"/>
          <w:szCs w:val="16"/>
        </w:rPr>
      </w:pPr>
    </w:p>
    <w:p>
      <w:pPr>
        <w:pStyle w:val="6"/>
        <w:keepNext w:val="0"/>
        <w:keepLines w:val="0"/>
        <w:pageBreakBefore w:val="0"/>
        <w:widowControl/>
        <w:kinsoku/>
        <w:wordWrap/>
        <w:overflowPunct/>
        <w:topLinePunct w:val="0"/>
        <w:autoSpaceDE/>
        <w:autoSpaceDN w:val="0"/>
        <w:bidi w:val="0"/>
        <w:adjustRightInd/>
        <w:snapToGrid/>
        <w:spacing w:line="580" w:lineRule="exact"/>
        <w:ind w:firstLine="56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一、抽查事项</w:t>
      </w:r>
    </w:p>
    <w:p>
      <w:pPr>
        <w:pStyle w:val="6"/>
        <w:keepNext w:val="0"/>
        <w:keepLines w:val="0"/>
        <w:pageBreakBefore w:val="0"/>
        <w:widowControl/>
        <w:kinsoku/>
        <w:wordWrap/>
        <w:overflowPunct/>
        <w:topLinePunct w:val="0"/>
        <w:autoSpaceDE/>
        <w:autoSpaceDN w:val="0"/>
        <w:bidi w:val="0"/>
        <w:adjustRightInd/>
        <w:snapToGrid/>
        <w:spacing w:line="580" w:lineRule="exact"/>
        <w:ind w:firstLine="56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商标代理行为的检查。</w:t>
      </w:r>
    </w:p>
    <w:p>
      <w:pPr>
        <w:pStyle w:val="6"/>
        <w:keepNext w:val="0"/>
        <w:keepLines w:val="0"/>
        <w:pageBreakBefore w:val="0"/>
        <w:widowControl/>
        <w:kinsoku/>
        <w:wordWrap/>
        <w:overflowPunct/>
        <w:topLinePunct w:val="0"/>
        <w:autoSpaceDE/>
        <w:autoSpaceDN w:val="0"/>
        <w:bidi w:val="0"/>
        <w:adjustRightInd/>
        <w:snapToGrid/>
        <w:spacing w:line="580" w:lineRule="exact"/>
        <w:ind w:firstLine="56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二、检查内容和方法</w:t>
      </w:r>
    </w:p>
    <w:p>
      <w:pPr>
        <w:pStyle w:val="6"/>
        <w:keepNext w:val="0"/>
        <w:keepLines w:val="0"/>
        <w:pageBreakBefore w:val="0"/>
        <w:widowControl/>
        <w:kinsoku/>
        <w:wordWrap w:val="0"/>
        <w:overflowPunct/>
        <w:topLinePunct w:val="0"/>
        <w:autoSpaceDE/>
        <w:autoSpaceDN w:val="0"/>
        <w:bidi w:val="0"/>
        <w:adjustRightInd/>
        <w:snapToGrid/>
        <w:spacing w:line="580" w:lineRule="exact"/>
        <w:ind w:left="0" w:leftChars="0" w:right="0" w:rightChars="0" w:firstLine="640"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（一）检查商标代理机构主体资格</w:t>
      </w:r>
    </w:p>
    <w:p>
      <w:pPr>
        <w:pStyle w:val="6"/>
        <w:keepNext w:val="0"/>
        <w:keepLines w:val="0"/>
        <w:pageBreakBefore w:val="0"/>
        <w:widowControl/>
        <w:kinsoku/>
        <w:wordWrap w:val="0"/>
        <w:overflowPunct/>
        <w:topLinePunct w:val="0"/>
        <w:autoSpaceDE/>
        <w:autoSpaceDN w:val="0"/>
        <w:bidi w:val="0"/>
        <w:adjustRightInd/>
        <w:snapToGrid/>
        <w:spacing w:line="580" w:lineRule="exact"/>
        <w:ind w:left="0" w:leftChars="0" w:right="0" w:righ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使用名称是否与登记注册的名称一致；</w:t>
      </w:r>
    </w:p>
    <w:p>
      <w:pPr>
        <w:pStyle w:val="6"/>
        <w:keepNext w:val="0"/>
        <w:keepLines w:val="0"/>
        <w:pageBreakBefore w:val="0"/>
        <w:widowControl/>
        <w:kinsoku/>
        <w:wordWrap w:val="0"/>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是否具有独立的办公场所</w:t>
      </w:r>
      <w:r>
        <w:rPr>
          <w:rFonts w:hint="eastAsia" w:ascii="Times New Roman" w:hAnsi="Times New Roman" w:eastAsia="仿宋_GB2312" w:cs="Times New Roman"/>
          <w:sz w:val="32"/>
          <w:szCs w:val="32"/>
          <w:highlight w:val="none"/>
          <w:lang w:val="en-US" w:eastAsia="zh-CN"/>
        </w:rPr>
        <w:t>。</w:t>
      </w:r>
    </w:p>
    <w:p>
      <w:pPr>
        <w:pStyle w:val="6"/>
        <w:keepNext w:val="0"/>
        <w:keepLines w:val="0"/>
        <w:pageBreakBefore w:val="0"/>
        <w:widowControl/>
        <w:kinsoku/>
        <w:wordWrap w:val="0"/>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（二）检查商标代理机构备案、变更备案、延续备案、注销备案情况</w:t>
      </w:r>
    </w:p>
    <w:p>
      <w:pPr>
        <w:pStyle w:val="6"/>
        <w:keepNext w:val="0"/>
        <w:keepLines w:val="0"/>
        <w:pageBreakBefore w:val="0"/>
        <w:widowControl/>
        <w:kinsoku/>
        <w:wordWrap w:val="0"/>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请代理机构登录国家知识产权局商标局中国商标网网上服务系统：1.检查备案信息是否一致。2.是否自办理企业变更登记或司法行政部门批准之日起三十日内向国家知识产权局申请办理变更手续。3.检查是否自有效期届满前六个月内办理延续备案手续。4.检查商标代理机构申请市场主体注销登记，备案有效期届满未办理延续或者自行决定不再从事商标代理业务，被撤销或者被吊销营业执照、律师事务所执业许可证，或者国家知识产权局决定永久停止受理其办理商标代理业务的，是否向国家知识产权局办理注销备案。</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sz w:val="32"/>
          <w:szCs w:val="32"/>
          <w:highlight w:val="none"/>
          <w:lang w:val="en-US" w:eastAsia="zh-CN"/>
        </w:rPr>
        <w:t>（三）检查商标代理机构提供的商标代理合同（协议）文件等资料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商标代理机构是否有下列行为之一：</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办理商标事宜过程中，伪造、变造或者使用伪造、变造的法律文件、印章、签名的；</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以诋毁其他商标代理机构等手段招徕商标代理业务或者以其他不正当手段扰乱商标代理市场秩序的；</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自然人、法人或者其他组织在生产经营活动中，对其商品或者服务需要取得商标专用权的，应当向商标局申请商标注册。不以使用为目的的恶意商标注册申请，应当予以驳回。</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商标代理机构知道或者应当知道委托人申请注册的商标属于《中华人民共和国商标法》第四条、第十五条和第三十二条规定情形的，不得接受其委托。</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商标代理机构除对其代理服务申请商标注册外，不得申请注册其他商标。</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sz w:val="32"/>
          <w:szCs w:val="32"/>
          <w:highlight w:val="none"/>
          <w:lang w:val="en-US" w:eastAsia="zh-CN"/>
        </w:rPr>
        <w:t>（四）检查商标代理机构提供的商标代理合同（协议）文件等资料，</w:t>
      </w:r>
      <w:r>
        <w:rPr>
          <w:rFonts w:hint="default" w:ascii="Times New Roman" w:hAnsi="Times New Roman" w:eastAsia="仿宋_GB2312" w:cs="Times New Roman"/>
          <w:b/>
          <w:bCs/>
          <w:sz w:val="32"/>
          <w:szCs w:val="32"/>
          <w:lang w:val="en-US" w:eastAsia="zh-CN"/>
        </w:rPr>
        <w:t>商标代理人是否有下列行为之一：</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私自接受委托，向委托人收取费用，收受委托人财物的；</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隐瞒事实，提供虚假证据，或者威胁、诱导他人隐瞒事实，提供虚假证据的；</w:t>
      </w:r>
    </w:p>
    <w:p>
      <w:pPr>
        <w:pStyle w:val="6"/>
        <w:keepNext w:val="0"/>
        <w:keepLines w:val="0"/>
        <w:pageBreakBefore w:val="0"/>
        <w:widowControl/>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商标代理人不得同时在两个以上的商标代理组织执业；</w:t>
      </w:r>
    </w:p>
    <w:p>
      <w:pPr>
        <w:pStyle w:val="6"/>
        <w:keepNext w:val="0"/>
        <w:keepLines w:val="0"/>
        <w:pageBreakBefore w:val="0"/>
        <w:widowControl/>
        <w:kinsoku/>
        <w:wordWrap/>
        <w:overflowPunct/>
        <w:topLinePunct w:val="0"/>
        <w:autoSpaceDE/>
        <w:autoSpaceDN w:val="0"/>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商标代理人应当为委托人保守商业秘密，未经委托人同意，不得把未经公开的代理事项泄露给其他机构和个人；</w:t>
      </w:r>
    </w:p>
    <w:p>
      <w:pPr>
        <w:pStyle w:val="6"/>
        <w:keepNext w:val="0"/>
        <w:keepLines w:val="0"/>
        <w:pageBreakBefore w:val="0"/>
        <w:widowControl/>
        <w:kinsoku/>
        <w:wordWrap/>
        <w:overflowPunct/>
        <w:topLinePunct w:val="0"/>
        <w:autoSpaceDE/>
        <w:autoSpaceDN w:val="0"/>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在明知委托人的委托事宜出于恶意或者其行为违反国家法律或者具有欺诈性的情况下，商标代理人应当拒绝接受委托；</w:t>
      </w:r>
    </w:p>
    <w:p>
      <w:pPr>
        <w:pStyle w:val="6"/>
        <w:keepNext w:val="0"/>
        <w:keepLines w:val="0"/>
        <w:pageBreakBefore w:val="0"/>
        <w:widowControl/>
        <w:kinsoku/>
        <w:wordWrap/>
        <w:overflowPunct/>
        <w:topLinePunct w:val="0"/>
        <w:autoSpaceDE/>
        <w:autoSpaceDN w:val="0"/>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有其他违法行为的。</w:t>
      </w:r>
    </w:p>
    <w:p>
      <w:pPr>
        <w:pStyle w:val="6"/>
        <w:keepNext w:val="0"/>
        <w:keepLines w:val="0"/>
        <w:pageBreakBefore w:val="0"/>
        <w:widowControl/>
        <w:kinsoku/>
        <w:wordWrap/>
        <w:overflowPunct/>
        <w:topLinePunct w:val="0"/>
        <w:autoSpaceDE/>
        <w:autoSpaceDN w:val="0"/>
        <w:bidi w:val="0"/>
        <w:adjustRightInd/>
        <w:snapToGrid/>
        <w:spacing w:line="60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检查依据</w:t>
      </w:r>
    </w:p>
    <w:p>
      <w:pPr>
        <w:pStyle w:val="6"/>
        <w:keepNext w:val="0"/>
        <w:keepLines w:val="0"/>
        <w:pageBreakBefore w:val="0"/>
        <w:widowControl/>
        <w:numPr>
          <w:ilvl w:val="0"/>
          <w:numId w:val="0"/>
        </w:numPr>
        <w:kinsoku/>
        <w:wordWrap/>
        <w:overflowPunct/>
        <w:topLinePunct w:val="0"/>
        <w:autoSpaceDE/>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《中华人民共和国商标法》（2019年11月1日施行）第四条、第十九条、第六十八条。</w:t>
      </w:r>
    </w:p>
    <w:p>
      <w:pPr>
        <w:pStyle w:val="6"/>
        <w:keepNext w:val="0"/>
        <w:keepLines w:val="0"/>
        <w:pageBreakBefore w:val="0"/>
        <w:widowControl/>
        <w:numPr>
          <w:ilvl w:val="0"/>
          <w:numId w:val="0"/>
        </w:numPr>
        <w:kinsoku/>
        <w:wordWrap/>
        <w:overflowPunct/>
        <w:topLinePunct w:val="0"/>
        <w:autoSpaceDE/>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《中华人民共和国商标法实施条例》（2014年5月1日施行）第八十八条、第八十九条。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《商标代理监督管理规定》（2022年12月1日起施行）第五条、第六条、第七条、第八条</w:t>
      </w:r>
      <w:r>
        <w:rPr>
          <w:rFonts w:hint="eastAsia" w:ascii="Times New Roman" w:hAnsi="Times New Roman" w:eastAsia="仿宋_GB2312" w:cs="Times New Roman"/>
          <w:kern w:val="2"/>
          <w:sz w:val="32"/>
          <w:szCs w:val="32"/>
          <w:lang w:val="en-US" w:eastAsia="zh-CN" w:bidi="ar-SA"/>
        </w:rPr>
        <w:t>。</w:t>
      </w:r>
      <w:bookmarkStart w:id="1" w:name="_GoBack"/>
      <w:bookmarkEnd w:id="1"/>
    </w:p>
    <w:p>
      <w:pPr>
        <w:spacing w:line="540" w:lineRule="exact"/>
        <w:outlineLvl w:val="0"/>
        <w:rPr>
          <w:rFonts w:hint="default" w:ascii="Times New Roman" w:hAnsi="Times New Roman" w:eastAsia="黑体" w:cs="Times New Roman"/>
          <w:sz w:val="32"/>
          <w:szCs w:val="32"/>
        </w:rPr>
      </w:pPr>
    </w:p>
    <w:bookmarkEnd w:id="0"/>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ans-serif">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9B69A2"/>
    <w:rsid w:val="2EDC0BD5"/>
    <w:rsid w:val="3EDC2325"/>
    <w:rsid w:val="3FFA4DAA"/>
    <w:rsid w:val="5D3BD5E8"/>
    <w:rsid w:val="5FBE5E56"/>
    <w:rsid w:val="7FBE272C"/>
    <w:rsid w:val="BFE29F5A"/>
    <w:rsid w:val="DFE73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character" w:styleId="5">
    <w:name w:val="Hyperlink"/>
    <w:qFormat/>
    <w:uiPriority w:val="0"/>
    <w:rPr>
      <w:color w:val="0000FF"/>
      <w:u w:val="single"/>
    </w:rPr>
  </w:style>
  <w:style w:type="paragraph" w:customStyle="1" w:styleId="6">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2023-06-17T11:28:00Z</dcterms:created>
  <dc:creator>ljjroo</dc:creator>
  <cp:lastModifiedBy>jdj</cp:lastModifiedBy>
  <dcterms:modified xsi:type="dcterms:W3CDTF">2024-08-06T16:00:17Z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C31934996219D8DD11D8B1665EFA6FD7_42</vt:lpwstr>
  </property>
</Properties>
</file>