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4408</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湛江市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framePr/>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4408/T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供水管网及二次供水工程技术规程</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点击此处添加标准名称的英文译名</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湛江市市场监督管理局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1"/>
        <w:spacing w:after="468"/>
      </w:pPr>
      <w:bookmarkStart w:id="21" w:name="BookMark1"/>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"_Toc148526799" </w:instrText>
      </w:r>
      <w:r>
        <w:fldChar w:fldCharType="separate"/>
      </w:r>
      <w:r>
        <w:rPr>
          <w:rStyle w:val="32"/>
          <w:spacing w:val="320"/>
        </w:rPr>
        <w:t>前</w:t>
      </w:r>
      <w:r>
        <w:rPr>
          <w:rStyle w:val="32"/>
        </w:rPr>
        <w:t>言</w:t>
      </w:r>
      <w:r>
        <w:tab/>
      </w:r>
      <w:r>
        <w:fldChar w:fldCharType="begin"/>
      </w:r>
      <w:r>
        <w:instrText xml:space="preserve"> PAGEREF _Toc148526799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"_Toc148526800" </w:instrText>
      </w:r>
      <w:r>
        <w:fldChar w:fldCharType="separate"/>
      </w:r>
      <w:r>
        <w:rPr>
          <w:rStyle w:val="32"/>
          <w:spacing w:val="320"/>
        </w:rPr>
        <w:t>引</w:t>
      </w:r>
      <w:r>
        <w:rPr>
          <w:rStyle w:val="32"/>
        </w:rPr>
        <w:t>言</w:t>
      </w:r>
      <w:r>
        <w:tab/>
      </w:r>
      <w:r>
        <w:fldChar w:fldCharType="begin"/>
      </w:r>
      <w:r>
        <w:instrText xml:space="preserve"> PAGEREF _Toc148526800 \h </w:instrText>
      </w:r>
      <w:r>
        <w:fldChar w:fldCharType="separate"/>
      </w:r>
      <w:r>
        <w:t>IV</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"_Toc148526801" </w:instrText>
      </w:r>
      <w:r>
        <w:fldChar w:fldCharType="separate"/>
      </w:r>
      <w:r>
        <w:rPr>
          <w:rStyle w:val="32"/>
        </w:rPr>
        <w:t>1 范围</w:t>
      </w:r>
      <w:r>
        <w:tab/>
      </w:r>
      <w:r>
        <w:fldChar w:fldCharType="begin"/>
      </w:r>
      <w:r>
        <w:instrText xml:space="preserve"> PAGEREF _Toc148526801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"_Toc148526802" </w:instrText>
      </w:r>
      <w:r>
        <w:fldChar w:fldCharType="separate"/>
      </w:r>
      <w:r>
        <w:rPr>
          <w:rStyle w:val="32"/>
        </w:rPr>
        <w:t>2 规范性引用文件</w:t>
      </w:r>
      <w:r>
        <w:tab/>
      </w:r>
      <w:r>
        <w:fldChar w:fldCharType="begin"/>
      </w:r>
      <w:r>
        <w:instrText xml:space="preserve"> PAGEREF _Toc148526802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"_Toc148526803" </w:instrText>
      </w:r>
      <w:r>
        <w:fldChar w:fldCharType="separate"/>
      </w:r>
      <w:r>
        <w:rPr>
          <w:rStyle w:val="32"/>
        </w:rPr>
        <w:t>3 术语和定义</w:t>
      </w:r>
      <w:r>
        <w:tab/>
      </w:r>
      <w:r>
        <w:fldChar w:fldCharType="begin"/>
      </w:r>
      <w:r>
        <w:instrText xml:space="preserve"> PAGEREF _Toc148526803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"_Toc148526804" </w:instrText>
      </w:r>
      <w:r>
        <w:fldChar w:fldCharType="separate"/>
      </w:r>
      <w:r>
        <w:rPr>
          <w:rStyle w:val="32"/>
        </w:rPr>
        <w:t>4 供水管网设计</w:t>
      </w:r>
      <w:r>
        <w:tab/>
      </w:r>
      <w:r>
        <w:fldChar w:fldCharType="begin"/>
      </w:r>
      <w:r>
        <w:instrText xml:space="preserve"> PAGEREF _Toc148526804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"_Toc148526805" </w:instrText>
      </w:r>
      <w:r>
        <w:fldChar w:fldCharType="separate"/>
      </w:r>
      <w:r>
        <w:rPr>
          <w:rStyle w:val="32"/>
          <w14:scene3d w14:prst="orthographicFront">
            <w14:lightRig w14:rig="threePt" w14:dir="t">
              <w14:rot w14:lat="0" w14:lon="0" w14:rev="0"/>
            </w14:lightRig>
          </w14:scene3d>
        </w:rPr>
        <w:t>4.1</w:t>
      </w:r>
      <w:r>
        <w:rPr>
          <w:rStyle w:val="32"/>
        </w:rPr>
        <w:t xml:space="preserve"> 一般规定</w:t>
      </w:r>
      <w:r>
        <w:tab/>
      </w:r>
      <w:r>
        <w:fldChar w:fldCharType="begin"/>
      </w:r>
      <w:r>
        <w:instrText xml:space="preserve"> PAGEREF _Toc148526805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"_Toc148526806" </w:instrText>
      </w:r>
      <w:r>
        <w:fldChar w:fldCharType="separate"/>
      </w:r>
      <w:r>
        <w:rPr>
          <w:rStyle w:val="32"/>
          <w14:scene3d w14:prst="orthographicFront">
            <w14:lightRig w14:rig="threePt" w14:dir="t">
              <w14:rot w14:lat="0" w14:lon="0" w14:rev="0"/>
            </w14:lightRig>
          </w14:scene3d>
        </w:rPr>
        <w:t>4.2</w:t>
      </w:r>
      <w:r>
        <w:rPr>
          <w:rStyle w:val="32"/>
        </w:rPr>
        <w:t xml:space="preserve"> 系统设计</w:t>
      </w:r>
      <w:r>
        <w:tab/>
      </w:r>
      <w:r>
        <w:fldChar w:fldCharType="begin"/>
      </w:r>
      <w:r>
        <w:instrText xml:space="preserve"> PAGEREF _Toc148526806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"_Toc148526807" </w:instrText>
      </w:r>
      <w:r>
        <w:fldChar w:fldCharType="separate"/>
      </w:r>
      <w:r>
        <w:rPr>
          <w:rStyle w:val="32"/>
          <w14:scene3d w14:prst="orthographicFront">
            <w14:lightRig w14:rig="threePt" w14:dir="t">
              <w14:rot w14:lat="0" w14:lon="0" w14:rev="0"/>
            </w14:lightRig>
          </w14:scene3d>
        </w:rPr>
        <w:t>4.3</w:t>
      </w:r>
      <w:r>
        <w:rPr>
          <w:rStyle w:val="32"/>
        </w:rPr>
        <w:t xml:space="preserve"> 管网修复及更新改造</w:t>
      </w:r>
      <w:r>
        <w:tab/>
      </w:r>
      <w:r>
        <w:fldChar w:fldCharType="begin"/>
      </w:r>
      <w:r>
        <w:instrText xml:space="preserve"> PAGEREF _Toc148526807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"_Toc148526808" </w:instrText>
      </w:r>
      <w:r>
        <w:fldChar w:fldCharType="separate"/>
      </w:r>
      <w:r>
        <w:rPr>
          <w:rStyle w:val="32"/>
        </w:rPr>
        <w:t>5 二次供水设计</w:t>
      </w:r>
      <w:r>
        <w:tab/>
      </w:r>
      <w:r>
        <w:fldChar w:fldCharType="begin"/>
      </w:r>
      <w:r>
        <w:instrText xml:space="preserve"> PAGEREF _Toc148526808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"_Toc148526809" </w:instrText>
      </w:r>
      <w:r>
        <w:fldChar w:fldCharType="separate"/>
      </w:r>
      <w:r>
        <w:rPr>
          <w:rStyle w:val="32"/>
          <w14:scene3d w14:prst="orthographicFront">
            <w14:lightRig w14:rig="threePt" w14:dir="t">
              <w14:rot w14:lat="0" w14:lon="0" w14:rev="0"/>
            </w14:lightRig>
          </w14:scene3d>
        </w:rPr>
        <w:t>5.1</w:t>
      </w:r>
      <w:r>
        <w:rPr>
          <w:rStyle w:val="32"/>
        </w:rPr>
        <w:t xml:space="preserve"> 一般规定</w:t>
      </w:r>
      <w:r>
        <w:tab/>
      </w:r>
      <w:r>
        <w:fldChar w:fldCharType="begin"/>
      </w:r>
      <w:r>
        <w:instrText xml:space="preserve"> PAGEREF _Toc148526809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"_Toc148526810" </w:instrText>
      </w:r>
      <w:r>
        <w:fldChar w:fldCharType="separate"/>
      </w:r>
      <w:r>
        <w:rPr>
          <w:rStyle w:val="32"/>
          <w14:scene3d w14:prst="orthographicFront">
            <w14:lightRig w14:rig="threePt" w14:dir="t">
              <w14:rot w14:lat="0" w14:lon="0" w14:rev="0"/>
            </w14:lightRig>
          </w14:scene3d>
        </w:rPr>
        <w:t>5.2</w:t>
      </w:r>
      <w:r>
        <w:rPr>
          <w:rStyle w:val="32"/>
        </w:rPr>
        <w:t xml:space="preserve"> 提标改造</w:t>
      </w:r>
      <w:r>
        <w:tab/>
      </w:r>
      <w:r>
        <w:fldChar w:fldCharType="begin"/>
      </w:r>
      <w:r>
        <w:instrText xml:space="preserve"> PAGEREF _Toc148526810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"_Toc148526811" </w:instrText>
      </w:r>
      <w:r>
        <w:fldChar w:fldCharType="separate"/>
      </w:r>
      <w:r>
        <w:rPr>
          <w:rStyle w:val="32"/>
          <w14:scene3d w14:prst="orthographicFront">
            <w14:lightRig w14:rig="threePt" w14:dir="t">
              <w14:rot w14:lat="0" w14:lon="0" w14:rev="0"/>
            </w14:lightRig>
          </w14:scene3d>
        </w:rPr>
        <w:t>5.3</w:t>
      </w:r>
      <w:r>
        <w:rPr>
          <w:rStyle w:val="32"/>
        </w:rPr>
        <w:t xml:space="preserve"> 水量、水质和水压</w:t>
      </w:r>
      <w:r>
        <w:tab/>
      </w:r>
      <w:r>
        <w:fldChar w:fldCharType="begin"/>
      </w:r>
      <w:r>
        <w:instrText xml:space="preserve"> PAGEREF _Toc148526811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"_Toc148526812" </w:instrText>
      </w:r>
      <w:r>
        <w:fldChar w:fldCharType="separate"/>
      </w:r>
      <w:r>
        <w:rPr>
          <w:rStyle w:val="32"/>
          <w14:scene3d w14:prst="orthographicFront">
            <w14:lightRig w14:rig="threePt" w14:dir="t">
              <w14:rot w14:lat="0" w14:lon="0" w14:rev="0"/>
            </w14:lightRig>
          </w14:scene3d>
        </w:rPr>
        <w:t>5.4</w:t>
      </w:r>
      <w:r>
        <w:rPr>
          <w:rStyle w:val="32"/>
        </w:rPr>
        <w:t xml:space="preserve"> 系统选择</w:t>
      </w:r>
      <w:r>
        <w:tab/>
      </w:r>
      <w:r>
        <w:fldChar w:fldCharType="begin"/>
      </w:r>
      <w:r>
        <w:instrText xml:space="preserve"> PAGEREF _Toc148526812 \h </w:instrText>
      </w:r>
      <w:r>
        <w:fldChar w:fldCharType="separate"/>
      </w:r>
      <w:r>
        <w:t>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"_Toc148526813" </w:instrText>
      </w:r>
      <w:r>
        <w:fldChar w:fldCharType="separate"/>
      </w:r>
      <w:r>
        <w:rPr>
          <w:rStyle w:val="32"/>
          <w14:scene3d w14:prst="orthographicFront">
            <w14:lightRig w14:rig="threePt" w14:dir="t">
              <w14:rot w14:lat="0" w14:lon="0" w14:rev="0"/>
            </w14:lightRig>
          </w14:scene3d>
        </w:rPr>
        <w:t>5.5</w:t>
      </w:r>
      <w:r>
        <w:rPr>
          <w:rStyle w:val="32"/>
        </w:rPr>
        <w:t xml:space="preserve"> 系统设计</w:t>
      </w:r>
      <w:r>
        <w:tab/>
      </w:r>
      <w:r>
        <w:fldChar w:fldCharType="begin"/>
      </w:r>
      <w:r>
        <w:instrText xml:space="preserve"> PAGEREF _Toc148526813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"_Toc148526814" </w:instrText>
      </w:r>
      <w:r>
        <w:fldChar w:fldCharType="separate"/>
      </w:r>
      <w:r>
        <w:rPr>
          <w:rStyle w:val="32"/>
          <w14:scene3d w14:prst="orthographicFront">
            <w14:lightRig w14:rig="threePt" w14:dir="t">
              <w14:rot w14:lat="0" w14:lon="0" w14:rev="0"/>
            </w14:lightRig>
          </w14:scene3d>
        </w:rPr>
        <w:t>5.6</w:t>
      </w:r>
      <w:r>
        <w:rPr>
          <w:rStyle w:val="32"/>
        </w:rPr>
        <w:t xml:space="preserve"> 泵房</w:t>
      </w:r>
      <w:r>
        <w:tab/>
      </w:r>
      <w:r>
        <w:fldChar w:fldCharType="begin"/>
      </w:r>
      <w:r>
        <w:instrText xml:space="preserve"> PAGEREF _Toc148526814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"_Toc148526815" </w:instrText>
      </w:r>
      <w:r>
        <w:fldChar w:fldCharType="separate"/>
      </w:r>
      <w:r>
        <w:rPr>
          <w:rStyle w:val="32"/>
          <w14:scene3d w14:prst="orthographicFront">
            <w14:lightRig w14:rig="threePt" w14:dir="t">
              <w14:rot w14:lat="0" w14:lon="0" w14:rev="0"/>
            </w14:lightRig>
          </w14:scene3d>
        </w:rPr>
        <w:t>5.7</w:t>
      </w:r>
      <w:r>
        <w:rPr>
          <w:rStyle w:val="32"/>
        </w:rPr>
        <w:t xml:space="preserve"> 水泵</w:t>
      </w:r>
      <w:r>
        <w:tab/>
      </w:r>
      <w:r>
        <w:fldChar w:fldCharType="begin"/>
      </w:r>
      <w:r>
        <w:instrText xml:space="preserve"> PAGEREF _Toc148526815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"_Toc148526816" </w:instrText>
      </w:r>
      <w:r>
        <w:fldChar w:fldCharType="separate"/>
      </w:r>
      <w:r>
        <w:rPr>
          <w:rStyle w:val="32"/>
          <w14:scene3d w14:prst="orthographicFront">
            <w14:lightRig w14:rig="threePt" w14:dir="t">
              <w14:rot w14:lat="0" w14:lon="0" w14:rev="0"/>
            </w14:lightRig>
          </w14:scene3d>
        </w:rPr>
        <w:t>5.8</w:t>
      </w:r>
      <w:r>
        <w:rPr>
          <w:rStyle w:val="32"/>
        </w:rPr>
        <w:t xml:space="preserve"> 叠压供水设备</w:t>
      </w:r>
      <w:r>
        <w:tab/>
      </w:r>
      <w:r>
        <w:fldChar w:fldCharType="begin"/>
      </w:r>
      <w:r>
        <w:instrText xml:space="preserve"> PAGEREF _Toc148526816 \h </w:instrText>
      </w:r>
      <w:r>
        <w:fldChar w:fldCharType="separate"/>
      </w:r>
      <w:r>
        <w:t>10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"_Toc148526817" </w:instrText>
      </w:r>
      <w:r>
        <w:fldChar w:fldCharType="separate"/>
      </w:r>
      <w:r>
        <w:rPr>
          <w:rStyle w:val="32"/>
          <w14:scene3d w14:prst="orthographicFront">
            <w14:lightRig w14:rig="threePt" w14:dir="t">
              <w14:rot w14:lat="0" w14:lon="0" w14:rev="0"/>
            </w14:lightRig>
          </w14:scene3d>
        </w:rPr>
        <w:t>5.9</w:t>
      </w:r>
      <w:r>
        <w:rPr>
          <w:rStyle w:val="32"/>
        </w:rPr>
        <w:t xml:space="preserve"> 水池（箱）</w:t>
      </w:r>
      <w:r>
        <w:tab/>
      </w:r>
      <w:r>
        <w:fldChar w:fldCharType="begin"/>
      </w:r>
      <w:r>
        <w:instrText xml:space="preserve"> PAGEREF _Toc148526817 \h </w:instrText>
      </w:r>
      <w:r>
        <w:fldChar w:fldCharType="separate"/>
      </w:r>
      <w:r>
        <w:t>11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"_Toc148526818" </w:instrText>
      </w:r>
      <w:r>
        <w:fldChar w:fldCharType="separate"/>
      </w:r>
      <w:r>
        <w:rPr>
          <w:rStyle w:val="32"/>
          <w14:scene3d w14:prst="orthographicFront">
            <w14:lightRig w14:rig="threePt" w14:dir="t">
              <w14:rot w14:lat="0" w14:lon="0" w14:rev="0"/>
            </w14:lightRig>
          </w14:scene3d>
        </w:rPr>
        <w:t>5.10</w:t>
      </w:r>
      <w:r>
        <w:rPr>
          <w:rStyle w:val="32"/>
        </w:rPr>
        <w:t xml:space="preserve"> 消毒与在线监测</w:t>
      </w:r>
      <w:r>
        <w:tab/>
      </w:r>
      <w:r>
        <w:fldChar w:fldCharType="begin"/>
      </w:r>
      <w:r>
        <w:instrText xml:space="preserve"> PAGEREF _Toc148526818 \h </w:instrText>
      </w:r>
      <w:r>
        <w:fldChar w:fldCharType="separate"/>
      </w:r>
      <w:r>
        <w:t>12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"_Toc148526819" </w:instrText>
      </w:r>
      <w:r>
        <w:fldChar w:fldCharType="separate"/>
      </w:r>
      <w:r>
        <w:rPr>
          <w:rStyle w:val="32"/>
          <w14:scene3d w14:prst="orthographicFront">
            <w14:lightRig w14:rig="threePt" w14:dir="t">
              <w14:rot w14:lat="0" w14:lon="0" w14:rev="0"/>
            </w14:lightRig>
          </w14:scene3d>
        </w:rPr>
        <w:t>5.11</w:t>
      </w:r>
      <w:r>
        <w:rPr>
          <w:rStyle w:val="32"/>
        </w:rPr>
        <w:t xml:space="preserve"> 管路系统及附属设施</w:t>
      </w:r>
      <w:r>
        <w:tab/>
      </w:r>
      <w:r>
        <w:fldChar w:fldCharType="begin"/>
      </w:r>
      <w:r>
        <w:instrText xml:space="preserve"> PAGEREF _Toc148526819 \h </w:instrText>
      </w:r>
      <w:r>
        <w:fldChar w:fldCharType="separate"/>
      </w:r>
      <w:r>
        <w:t>12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"_Toc148526820" </w:instrText>
      </w:r>
      <w:r>
        <w:fldChar w:fldCharType="separate"/>
      </w:r>
      <w:r>
        <w:rPr>
          <w:rStyle w:val="32"/>
          <w14:scene3d w14:prst="orthographicFront">
            <w14:lightRig w14:rig="threePt" w14:dir="t">
              <w14:rot w14:lat="0" w14:lon="0" w14:rev="0"/>
            </w14:lightRig>
          </w14:scene3d>
        </w:rPr>
        <w:t>5.12</w:t>
      </w:r>
      <w:r>
        <w:rPr>
          <w:rStyle w:val="32"/>
        </w:rPr>
        <w:t xml:space="preserve"> 流量计及水表</w:t>
      </w:r>
      <w:r>
        <w:tab/>
      </w:r>
      <w:r>
        <w:fldChar w:fldCharType="begin"/>
      </w:r>
      <w:r>
        <w:instrText xml:space="preserve"> PAGEREF _Toc148526820 \h </w:instrText>
      </w:r>
      <w:r>
        <w:fldChar w:fldCharType="separate"/>
      </w:r>
      <w:r>
        <w:t>13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"_Toc148526821" </w:instrText>
      </w:r>
      <w:r>
        <w:fldChar w:fldCharType="separate"/>
      </w:r>
      <w:r>
        <w:rPr>
          <w:rStyle w:val="32"/>
          <w14:scene3d w14:prst="orthographicFront">
            <w14:lightRig w14:rig="threePt" w14:dir="t">
              <w14:rot w14:lat="0" w14:lon="0" w14:rev="0"/>
            </w14:lightRig>
          </w14:scene3d>
        </w:rPr>
        <w:t>5.13</w:t>
      </w:r>
      <w:r>
        <w:rPr>
          <w:rStyle w:val="32"/>
        </w:rPr>
        <w:t xml:space="preserve"> 自控</w:t>
      </w:r>
      <w:r>
        <w:tab/>
      </w:r>
      <w:r>
        <w:fldChar w:fldCharType="begin"/>
      </w:r>
      <w:r>
        <w:instrText xml:space="preserve"> PAGEREF _Toc148526821 \h </w:instrText>
      </w:r>
      <w:r>
        <w:fldChar w:fldCharType="separate"/>
      </w:r>
      <w:r>
        <w:t>14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"_Toc148526822" </w:instrText>
      </w:r>
      <w:r>
        <w:fldChar w:fldCharType="separate"/>
      </w:r>
      <w:r>
        <w:rPr>
          <w:rStyle w:val="32"/>
        </w:rPr>
        <w:t>6 管理系统与安防</w:t>
      </w:r>
      <w:r>
        <w:tab/>
      </w:r>
      <w:r>
        <w:fldChar w:fldCharType="begin"/>
      </w:r>
      <w:r>
        <w:instrText xml:space="preserve"> PAGEREF _Toc148526822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"_Toc148526823" </w:instrText>
      </w:r>
      <w:r>
        <w:fldChar w:fldCharType="separate"/>
      </w:r>
      <w:r>
        <w:rPr>
          <w:rStyle w:val="32"/>
          <w14:scene3d w14:prst="orthographicFront">
            <w14:lightRig w14:rig="threePt" w14:dir="t">
              <w14:rot w14:lat="0" w14:lon="0" w14:rev="0"/>
            </w14:lightRig>
          </w14:scene3d>
        </w:rPr>
        <w:t>6.1</w:t>
      </w:r>
      <w:r>
        <w:rPr>
          <w:rStyle w:val="32"/>
        </w:rPr>
        <w:t xml:space="preserve"> 一般规定</w:t>
      </w:r>
      <w:r>
        <w:tab/>
      </w:r>
      <w:r>
        <w:fldChar w:fldCharType="begin"/>
      </w:r>
      <w:r>
        <w:instrText xml:space="preserve"> PAGEREF _Toc148526823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"_Toc148526824" </w:instrText>
      </w:r>
      <w:r>
        <w:fldChar w:fldCharType="separate"/>
      </w:r>
      <w:r>
        <w:rPr>
          <w:rStyle w:val="32"/>
          <w14:scene3d w14:prst="orthographicFront">
            <w14:lightRig w14:rig="threePt" w14:dir="t">
              <w14:rot w14:lat="0" w14:lon="0" w14:rev="0"/>
            </w14:lightRig>
          </w14:scene3d>
        </w:rPr>
        <w:t>6.2</w:t>
      </w:r>
      <w:r>
        <w:rPr>
          <w:rStyle w:val="32"/>
        </w:rPr>
        <w:t xml:space="preserve"> 安防系统</w:t>
      </w:r>
      <w:r>
        <w:tab/>
      </w:r>
      <w:r>
        <w:fldChar w:fldCharType="begin"/>
      </w:r>
      <w:r>
        <w:instrText xml:space="preserve"> PAGEREF _Toc148526824 \h </w:instrText>
      </w:r>
      <w:r>
        <w:fldChar w:fldCharType="separate"/>
      </w:r>
      <w:r>
        <w:t>15</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"_Toc148526825" </w:instrText>
      </w:r>
      <w:r>
        <w:fldChar w:fldCharType="separate"/>
      </w:r>
      <w:r>
        <w:rPr>
          <w:rStyle w:val="32"/>
          <w14:scene3d w14:prst="orthographicFront">
            <w14:lightRig w14:rig="threePt" w14:dir="t">
              <w14:rot w14:lat="0" w14:lon="0" w14:rev="0"/>
            </w14:lightRig>
          </w14:scene3d>
        </w:rPr>
        <w:t>6.3</w:t>
      </w:r>
      <w:r>
        <w:rPr>
          <w:rStyle w:val="32"/>
        </w:rPr>
        <w:t xml:space="preserve"> 数据采集与控制系统</w:t>
      </w:r>
      <w:r>
        <w:tab/>
      </w:r>
      <w:r>
        <w:fldChar w:fldCharType="begin"/>
      </w:r>
      <w:r>
        <w:instrText xml:space="preserve"> PAGEREF _Toc148526825 \h </w:instrText>
      </w:r>
      <w:r>
        <w:fldChar w:fldCharType="separate"/>
      </w:r>
      <w:r>
        <w:t>16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"_Toc148526826" </w:instrText>
      </w:r>
      <w:r>
        <w:fldChar w:fldCharType="separate"/>
      </w:r>
      <w:r>
        <w:rPr>
          <w:rStyle w:val="32"/>
          <w14:scene3d w14:prst="orthographicFront">
            <w14:lightRig w14:rig="threePt" w14:dir="t">
              <w14:rot w14:lat="0" w14:lon="0" w14:rev="0"/>
            </w14:lightRig>
          </w14:scene3d>
        </w:rPr>
        <w:t>6.4</w:t>
      </w:r>
      <w:r>
        <w:rPr>
          <w:rStyle w:val="32"/>
        </w:rPr>
        <w:t xml:space="preserve"> 运行维护管理系统</w:t>
      </w:r>
      <w:r>
        <w:tab/>
      </w:r>
      <w:r>
        <w:fldChar w:fldCharType="begin"/>
      </w:r>
      <w:r>
        <w:instrText xml:space="preserve"> PAGEREF _Toc148526826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"_Toc148526827" </w:instrText>
      </w:r>
      <w:r>
        <w:fldChar w:fldCharType="separate"/>
      </w:r>
      <w:r>
        <w:rPr>
          <w:rStyle w:val="32"/>
        </w:rPr>
        <w:t>7 施工及安装</w:t>
      </w:r>
      <w:r>
        <w:tab/>
      </w:r>
      <w:r>
        <w:fldChar w:fldCharType="begin"/>
      </w:r>
      <w:r>
        <w:instrText xml:space="preserve"> PAGEREF _Toc148526827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"_Toc148526828" </w:instrText>
      </w:r>
      <w:r>
        <w:fldChar w:fldCharType="separate"/>
      </w:r>
      <w:r>
        <w:rPr>
          <w:rStyle w:val="32"/>
          <w14:scene3d w14:prst="orthographicFront">
            <w14:lightRig w14:rig="threePt" w14:dir="t">
              <w14:rot w14:lat="0" w14:lon="0" w14:rev="0"/>
            </w14:lightRig>
          </w14:scene3d>
        </w:rPr>
        <w:t>7.1</w:t>
      </w:r>
      <w:r>
        <w:rPr>
          <w:rStyle w:val="32"/>
        </w:rPr>
        <w:t xml:space="preserve"> 一般规定</w:t>
      </w:r>
      <w:r>
        <w:tab/>
      </w:r>
      <w:r>
        <w:fldChar w:fldCharType="begin"/>
      </w:r>
      <w:r>
        <w:instrText xml:space="preserve"> PAGEREF _Toc148526828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"_Toc148526829" </w:instrText>
      </w:r>
      <w:r>
        <w:fldChar w:fldCharType="separate"/>
      </w:r>
      <w:r>
        <w:rPr>
          <w:rStyle w:val="32"/>
          <w14:scene3d w14:prst="orthographicFront">
            <w14:lightRig w14:rig="threePt" w14:dir="t">
              <w14:rot w14:lat="0" w14:lon="0" w14:rev="0"/>
            </w14:lightRig>
          </w14:scene3d>
        </w:rPr>
        <w:t>7.2</w:t>
      </w:r>
      <w:r>
        <w:rPr>
          <w:rStyle w:val="32"/>
        </w:rPr>
        <w:t xml:space="preserve"> 设备安装</w:t>
      </w:r>
      <w:r>
        <w:tab/>
      </w:r>
      <w:r>
        <w:fldChar w:fldCharType="begin"/>
      </w:r>
      <w:r>
        <w:instrText xml:space="preserve"> PAGEREF _Toc148526829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"_Toc148526830" </w:instrText>
      </w:r>
      <w:r>
        <w:fldChar w:fldCharType="separate"/>
      </w:r>
      <w:r>
        <w:rPr>
          <w:rStyle w:val="32"/>
          <w14:scene3d w14:prst="orthographicFront">
            <w14:lightRig w14:rig="threePt" w14:dir="t">
              <w14:rot w14:lat="0" w14:lon="0" w14:rev="0"/>
            </w14:lightRig>
          </w14:scene3d>
        </w:rPr>
        <w:t>7.3</w:t>
      </w:r>
      <w:r>
        <w:rPr>
          <w:rStyle w:val="32"/>
        </w:rPr>
        <w:t xml:space="preserve"> 水池（箱）改造</w:t>
      </w:r>
      <w:r>
        <w:tab/>
      </w:r>
      <w:r>
        <w:fldChar w:fldCharType="begin"/>
      </w:r>
      <w:r>
        <w:instrText xml:space="preserve"> PAGEREF _Toc148526830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"_Toc148526831" </w:instrText>
      </w:r>
      <w:r>
        <w:fldChar w:fldCharType="separate"/>
      </w:r>
      <w:r>
        <w:rPr>
          <w:rStyle w:val="32"/>
          <w14:scene3d w14:prst="orthographicFront">
            <w14:lightRig w14:rig="threePt" w14:dir="t">
              <w14:rot w14:lat="0" w14:lon="0" w14:rev="0"/>
            </w14:lightRig>
          </w14:scene3d>
        </w:rPr>
        <w:t>7.4</w:t>
      </w:r>
      <w:r>
        <w:rPr>
          <w:rStyle w:val="32"/>
        </w:rPr>
        <w:t xml:space="preserve"> 管道的敷设与安装</w:t>
      </w:r>
      <w:r>
        <w:tab/>
      </w:r>
      <w:r>
        <w:fldChar w:fldCharType="begin"/>
      </w:r>
      <w:r>
        <w:instrText xml:space="preserve"> PAGEREF _Toc148526831 \h </w:instrText>
      </w:r>
      <w:r>
        <w:fldChar w:fldCharType="separate"/>
      </w:r>
      <w:r>
        <w:t>17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"_Toc148526832" </w:instrText>
      </w:r>
      <w:r>
        <w:fldChar w:fldCharType="separate"/>
      </w:r>
      <w:r>
        <w:rPr>
          <w:rStyle w:val="32"/>
          <w14:scene3d w14:prst="orthographicFront">
            <w14:lightRig w14:rig="threePt" w14:dir="t">
              <w14:rot w14:lat="0" w14:lon="0" w14:rev="0"/>
            </w14:lightRig>
          </w14:scene3d>
        </w:rPr>
        <w:t>7.5</w:t>
      </w:r>
      <w:r>
        <w:rPr>
          <w:rStyle w:val="32"/>
        </w:rPr>
        <w:t xml:space="preserve"> 质量控制</w:t>
      </w:r>
      <w:r>
        <w:tab/>
      </w:r>
      <w:r>
        <w:fldChar w:fldCharType="begin"/>
      </w:r>
      <w:r>
        <w:instrText xml:space="preserve"> PAGEREF _Toc148526832 \h </w:instrText>
      </w:r>
      <w:r>
        <w:fldChar w:fldCharType="separate"/>
      </w:r>
      <w:r>
        <w:t>18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"_Toc148526833" </w:instrText>
      </w:r>
      <w:r>
        <w:fldChar w:fldCharType="separate"/>
      </w:r>
      <w:r>
        <w:rPr>
          <w:rStyle w:val="32"/>
        </w:rPr>
        <w:t>8 调试与验收</w:t>
      </w:r>
      <w:r>
        <w:tab/>
      </w:r>
      <w:r>
        <w:fldChar w:fldCharType="begin"/>
      </w:r>
      <w:r>
        <w:instrText xml:space="preserve"> PAGEREF _Toc148526833 \h </w:instrText>
      </w:r>
      <w:r>
        <w:fldChar w:fldCharType="separate"/>
      </w:r>
      <w:r>
        <w:t>18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"_Toc148526834" </w:instrText>
      </w:r>
      <w:r>
        <w:fldChar w:fldCharType="separate"/>
      </w:r>
      <w:r>
        <w:rPr>
          <w:rStyle w:val="32"/>
          <w14:scene3d w14:prst="orthographicFront">
            <w14:lightRig w14:rig="threePt" w14:dir="t">
              <w14:rot w14:lat="0" w14:lon="0" w14:rev="0"/>
            </w14:lightRig>
          </w14:scene3d>
        </w:rPr>
        <w:t>8.1</w:t>
      </w:r>
      <w:r>
        <w:rPr>
          <w:rStyle w:val="32"/>
        </w:rPr>
        <w:t xml:space="preserve"> 调试</w:t>
      </w:r>
      <w:r>
        <w:tab/>
      </w:r>
      <w:r>
        <w:fldChar w:fldCharType="begin"/>
      </w:r>
      <w:r>
        <w:instrText xml:space="preserve"> PAGEREF _Toc148526834 \h </w:instrText>
      </w:r>
      <w:r>
        <w:fldChar w:fldCharType="separate"/>
      </w:r>
      <w:r>
        <w:t>18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"_Toc148526835" </w:instrText>
      </w:r>
      <w:r>
        <w:fldChar w:fldCharType="separate"/>
      </w:r>
      <w:r>
        <w:rPr>
          <w:rStyle w:val="32"/>
          <w14:scene3d w14:prst="orthographicFront">
            <w14:lightRig w14:rig="threePt" w14:dir="t">
              <w14:rot w14:lat="0" w14:lon="0" w14:rev="0"/>
            </w14:lightRig>
          </w14:scene3d>
        </w:rPr>
        <w:t>8.2</w:t>
      </w:r>
      <w:r>
        <w:rPr>
          <w:rStyle w:val="32"/>
        </w:rPr>
        <w:t xml:space="preserve"> 二次供水泵房的验收</w:t>
      </w:r>
      <w:r>
        <w:tab/>
      </w:r>
      <w:r>
        <w:fldChar w:fldCharType="begin"/>
      </w:r>
      <w:r>
        <w:instrText xml:space="preserve"> PAGEREF _Toc148526835 \h </w:instrText>
      </w:r>
      <w:r>
        <w:fldChar w:fldCharType="separate"/>
      </w:r>
      <w:r>
        <w:t>19</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"_Toc148526836" </w:instrText>
      </w:r>
      <w:r>
        <w:fldChar w:fldCharType="separate"/>
      </w:r>
      <w:r>
        <w:rPr>
          <w:rStyle w:val="32"/>
          <w14:scene3d w14:prst="orthographicFront">
            <w14:lightRig w14:rig="threePt" w14:dir="t">
              <w14:rot w14:lat="0" w14:lon="0" w14:rev="0"/>
            </w14:lightRig>
          </w14:scene3d>
        </w:rPr>
        <w:t>8.3</w:t>
      </w:r>
      <w:r>
        <w:rPr>
          <w:rStyle w:val="32"/>
        </w:rPr>
        <w:t xml:space="preserve"> 验收要求</w:t>
      </w:r>
      <w:r>
        <w:tab/>
      </w:r>
      <w:r>
        <w:fldChar w:fldCharType="begin"/>
      </w:r>
      <w:r>
        <w:instrText xml:space="preserve"> PAGEREF _Toc148526836 \h </w:instrText>
      </w:r>
      <w:r>
        <w:fldChar w:fldCharType="separate"/>
      </w:r>
      <w:r>
        <w:t>20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"_Toc148526837" </w:instrText>
      </w:r>
      <w:r>
        <w:fldChar w:fldCharType="separate"/>
      </w:r>
      <w:r>
        <w:rPr>
          <w:rStyle w:val="32"/>
        </w:rPr>
        <w:t>9 设备设施运行与维护管理</w:t>
      </w:r>
      <w:r>
        <w:tab/>
      </w:r>
      <w:r>
        <w:fldChar w:fldCharType="begin"/>
      </w:r>
      <w:r>
        <w:instrText xml:space="preserve"> PAGEREF _Toc148526837 \h </w:instrText>
      </w:r>
      <w:r>
        <w:fldChar w:fldCharType="separate"/>
      </w:r>
      <w:r>
        <w:t>20</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"_Toc148526838" </w:instrText>
      </w:r>
      <w:r>
        <w:fldChar w:fldCharType="separate"/>
      </w:r>
      <w:r>
        <w:rPr>
          <w:rStyle w:val="32"/>
          <w14:scene3d w14:prst="orthographicFront">
            <w14:lightRig w14:rig="threePt" w14:dir="t">
              <w14:rot w14:lat="0" w14:lon="0" w14:rev="0"/>
            </w14:lightRig>
          </w14:scene3d>
        </w:rPr>
        <w:t>9.1</w:t>
      </w:r>
      <w:r>
        <w:rPr>
          <w:rStyle w:val="32"/>
        </w:rPr>
        <w:t xml:space="preserve"> 一般规定</w:t>
      </w:r>
      <w:r>
        <w:tab/>
      </w:r>
      <w:r>
        <w:fldChar w:fldCharType="begin"/>
      </w:r>
      <w:r>
        <w:instrText xml:space="preserve"> PAGEREF _Toc148526838 \h </w:instrText>
      </w:r>
      <w:r>
        <w:fldChar w:fldCharType="separate"/>
      </w:r>
      <w:r>
        <w:t>21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"_Toc148526839" </w:instrText>
      </w:r>
      <w:r>
        <w:fldChar w:fldCharType="separate"/>
      </w:r>
      <w:r>
        <w:rPr>
          <w:rStyle w:val="32"/>
          <w14:scene3d w14:prst="orthographicFront">
            <w14:lightRig w14:rig="threePt" w14:dir="t">
              <w14:rot w14:lat="0" w14:lon="0" w14:rev="0"/>
            </w14:lightRig>
          </w14:scene3d>
        </w:rPr>
        <w:t>9.2</w:t>
      </w:r>
      <w:r>
        <w:rPr>
          <w:rStyle w:val="32"/>
        </w:rPr>
        <w:t xml:space="preserve"> 运行</w:t>
      </w:r>
      <w:r>
        <w:tab/>
      </w:r>
      <w:r>
        <w:fldChar w:fldCharType="begin"/>
      </w:r>
      <w:r>
        <w:instrText xml:space="preserve"> PAGEREF _Toc148526839 \h </w:instrText>
      </w:r>
      <w:r>
        <w:fldChar w:fldCharType="separate"/>
      </w:r>
      <w:r>
        <w:t>21</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"_Toc148526840" </w:instrText>
      </w:r>
      <w:r>
        <w:fldChar w:fldCharType="separate"/>
      </w:r>
      <w:r>
        <w:rPr>
          <w:rStyle w:val="32"/>
          <w14:scene3d w14:prst="orthographicFront">
            <w14:lightRig w14:rig="threePt" w14:dir="t">
              <w14:rot w14:lat="0" w14:lon="0" w14:rev="0"/>
            </w14:lightRig>
          </w14:scene3d>
        </w:rPr>
        <w:t>9.3</w:t>
      </w:r>
      <w:r>
        <w:rPr>
          <w:rStyle w:val="32"/>
        </w:rPr>
        <w:t xml:space="preserve"> 维护</w:t>
      </w:r>
      <w:r>
        <w:tab/>
      </w:r>
      <w:r>
        <w:fldChar w:fldCharType="begin"/>
      </w:r>
      <w:r>
        <w:instrText xml:space="preserve"> PAGEREF _Toc148526840 \h </w:instrText>
      </w:r>
      <w:r>
        <w:fldChar w:fldCharType="separate"/>
      </w:r>
      <w:r>
        <w:t>23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"_Toc148526841" </w:instrText>
      </w:r>
      <w:r>
        <w:fldChar w:fldCharType="separate"/>
      </w:r>
      <w:r>
        <w:rPr>
          <w:rStyle w:val="32"/>
          <w14:scene3d w14:prst="orthographicFront">
            <w14:lightRig w14:rig="threePt" w14:dir="t">
              <w14:rot w14:lat="0" w14:lon="0" w14:rev="0"/>
            </w14:lightRig>
          </w14:scene3d>
        </w:rPr>
        <w:t>9.4</w:t>
      </w:r>
      <w:r>
        <w:rPr>
          <w:rStyle w:val="32"/>
        </w:rPr>
        <w:t xml:space="preserve"> 安全管理</w:t>
      </w:r>
      <w:r>
        <w:tab/>
      </w:r>
      <w:r>
        <w:fldChar w:fldCharType="begin"/>
      </w:r>
      <w:r>
        <w:instrText xml:space="preserve"> PAGEREF _Toc148526841 \h </w:instrText>
      </w:r>
      <w:r>
        <w:fldChar w:fldCharType="separate"/>
      </w:r>
      <w:r>
        <w:t>25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"_Toc148526842" </w:instrText>
      </w:r>
      <w:r>
        <w:fldChar w:fldCharType="separate"/>
      </w:r>
      <w:r>
        <w:rPr>
          <w:rStyle w:val="32"/>
          <w:spacing w:val="100"/>
        </w:rPr>
        <w:t>附录A</w:t>
      </w:r>
      <w:r>
        <w:rPr>
          <w:rStyle w:val="32"/>
        </w:rPr>
        <w:t xml:space="preserve"> （规范性） 二次供水设施提标改造评估技术路线</w:t>
      </w:r>
      <w:r>
        <w:tab/>
      </w:r>
      <w:r>
        <w:fldChar w:fldCharType="begin"/>
      </w:r>
      <w:r>
        <w:instrText xml:space="preserve"> PAGEREF _Toc148526842 \h </w:instrText>
      </w:r>
      <w:r>
        <w:fldChar w:fldCharType="separate"/>
      </w:r>
      <w:r>
        <w:t>26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"_Toc148526843" </w:instrText>
      </w:r>
      <w:r>
        <w:fldChar w:fldCharType="separate"/>
      </w:r>
      <w:r>
        <w:rPr>
          <w:rStyle w:val="32"/>
          <w:spacing w:val="100"/>
        </w:rPr>
        <w:t>附录B</w:t>
      </w:r>
      <w:r>
        <w:rPr>
          <w:rStyle w:val="32"/>
        </w:rPr>
        <w:t xml:space="preserve"> （资料性） 二次供水设施提标改造评估记录表</w:t>
      </w:r>
      <w:r>
        <w:tab/>
      </w:r>
      <w:r>
        <w:fldChar w:fldCharType="begin"/>
      </w:r>
      <w:r>
        <w:instrText xml:space="preserve"> PAGEREF _Toc148526843 \h </w:instrText>
      </w:r>
      <w:r>
        <w:fldChar w:fldCharType="separate"/>
      </w:r>
      <w:r>
        <w:t>27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"_Toc148526844" </w:instrText>
      </w:r>
      <w:r>
        <w:fldChar w:fldCharType="separate"/>
      </w:r>
      <w:r>
        <w:rPr>
          <w:rStyle w:val="32"/>
          <w:spacing w:val="100"/>
        </w:rPr>
        <w:t>附录C</w:t>
      </w:r>
      <w:r>
        <w:rPr>
          <w:rStyle w:val="32"/>
        </w:rPr>
        <w:t xml:space="preserve"> （资料性） 二次供水设施提标改造申请资料</w:t>
      </w:r>
      <w:r>
        <w:tab/>
      </w:r>
      <w:r>
        <w:fldChar w:fldCharType="begin"/>
      </w:r>
      <w:r>
        <w:instrText xml:space="preserve"> PAGEREF _Toc148526844 \h </w:instrText>
      </w:r>
      <w:r>
        <w:fldChar w:fldCharType="separate"/>
      </w:r>
      <w:r>
        <w:t>29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"_Toc148526845" </w:instrText>
      </w:r>
      <w:r>
        <w:fldChar w:fldCharType="separate"/>
      </w:r>
      <w:r>
        <w:rPr>
          <w:rStyle w:val="32"/>
          <w:spacing w:val="100"/>
        </w:rPr>
        <w:t>附录D</w:t>
      </w:r>
      <w:r>
        <w:rPr>
          <w:rStyle w:val="32"/>
        </w:rPr>
        <w:t xml:space="preserve"> （资料性） 二次供水设施提标改造移交验收记录表</w:t>
      </w:r>
      <w:r>
        <w:tab/>
      </w:r>
      <w:r>
        <w:fldChar w:fldCharType="begin"/>
      </w:r>
      <w:r>
        <w:instrText xml:space="preserve"> PAGEREF _Toc148526845 \h </w:instrText>
      </w:r>
      <w:r>
        <w:fldChar w:fldCharType="separate"/>
      </w:r>
      <w:r>
        <w:t>32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"_Toc148526846" </w:instrText>
      </w:r>
      <w:r>
        <w:fldChar w:fldCharType="separate"/>
      </w:r>
      <w:r>
        <w:rPr>
          <w:rStyle w:val="32"/>
          <w:spacing w:val="100"/>
        </w:rPr>
        <w:t>附录E</w:t>
      </w:r>
      <w:r>
        <w:rPr>
          <w:rStyle w:val="32"/>
        </w:rPr>
        <w:t xml:space="preserve"> （资料性） 二次供水设施验收意见表</w:t>
      </w:r>
      <w:r>
        <w:tab/>
      </w:r>
      <w:r>
        <w:fldChar w:fldCharType="begin"/>
      </w:r>
      <w:r>
        <w:instrText xml:space="preserve"> PAGEREF _Toc148526846 \h </w:instrText>
      </w:r>
      <w:r>
        <w:fldChar w:fldCharType="separate"/>
      </w:r>
      <w:r>
        <w:t>34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"_Toc148526847" </w:instrText>
      </w:r>
      <w:r>
        <w:fldChar w:fldCharType="separate"/>
      </w:r>
      <w:r>
        <w:rPr>
          <w:rStyle w:val="32"/>
          <w:spacing w:val="100"/>
        </w:rPr>
        <w:t>附录F</w:t>
      </w:r>
      <w:r>
        <w:rPr>
          <w:rStyle w:val="32"/>
        </w:rPr>
        <w:t xml:space="preserve"> （资料性） 泵房工程质量保修书（范本）</w:t>
      </w:r>
      <w:r>
        <w:tab/>
      </w:r>
      <w:r>
        <w:fldChar w:fldCharType="begin"/>
      </w:r>
      <w:r>
        <w:instrText xml:space="preserve"> PAGEREF _Toc148526847 \h </w:instrText>
      </w:r>
      <w:r>
        <w:fldChar w:fldCharType="separate"/>
      </w:r>
      <w:r>
        <w:t>35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"_Toc148526848" </w:instrText>
      </w:r>
      <w:r>
        <w:fldChar w:fldCharType="separate"/>
      </w:r>
      <w:r>
        <w:rPr>
          <w:rStyle w:val="32"/>
          <w:spacing w:val="100"/>
        </w:rPr>
        <w:t>附录G</w:t>
      </w:r>
      <w:r>
        <w:rPr>
          <w:rStyle w:val="32"/>
        </w:rPr>
        <w:t xml:space="preserve"> （资料性） 二次供水设施委托运营协议（范本）</w:t>
      </w:r>
      <w:r>
        <w:tab/>
      </w:r>
      <w:r>
        <w:fldChar w:fldCharType="begin"/>
      </w:r>
      <w:r>
        <w:instrText xml:space="preserve"> PAGEREF _Toc148526848 \h </w:instrText>
      </w:r>
      <w:r>
        <w:fldChar w:fldCharType="separate"/>
      </w:r>
      <w:r>
        <w:t>37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"_Toc148526849" </w:instrText>
      </w:r>
      <w:r>
        <w:fldChar w:fldCharType="separate"/>
      </w:r>
      <w:r>
        <w:rPr>
          <w:rStyle w:val="32"/>
          <w:spacing w:val="100"/>
        </w:rPr>
        <w:t>附录H</w:t>
      </w:r>
      <w:r>
        <w:rPr>
          <w:rStyle w:val="32"/>
        </w:rPr>
        <w:t xml:space="preserve"> （资料性） 技术档案送审表</w:t>
      </w:r>
      <w:r>
        <w:tab/>
      </w:r>
      <w:r>
        <w:fldChar w:fldCharType="begin"/>
      </w:r>
      <w:r>
        <w:instrText xml:space="preserve"> PAGEREF _Toc148526849 \h </w:instrText>
      </w:r>
      <w:r>
        <w:fldChar w:fldCharType="separate"/>
      </w:r>
      <w:r>
        <w:t>41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"_Toc148526850" </w:instrText>
      </w:r>
      <w:r>
        <w:fldChar w:fldCharType="separate"/>
      </w:r>
      <w:r>
        <w:rPr>
          <w:rStyle w:val="32"/>
          <w:spacing w:val="100"/>
        </w:rPr>
        <w:t>附录I</w:t>
      </w:r>
      <w:r>
        <w:rPr>
          <w:rStyle w:val="32"/>
        </w:rPr>
        <w:t xml:space="preserve"> （资料性） 技术档案移交书</w:t>
      </w:r>
      <w:r>
        <w:tab/>
      </w:r>
      <w:r>
        <w:fldChar w:fldCharType="begin"/>
      </w:r>
      <w:r>
        <w:instrText xml:space="preserve"> PAGEREF _Toc148526850 \h </w:instrText>
      </w:r>
      <w:r>
        <w:fldChar w:fldCharType="separate"/>
      </w:r>
      <w:r>
        <w:t>42</w:t>
      </w:r>
      <w:r>
        <w:fldChar w:fldCharType="end"/>
      </w:r>
      <w:r>
        <w:fldChar w:fldCharType="end"/>
      </w:r>
    </w:p>
    <w:p>
      <w:pPr>
        <w:pStyle w:val="91"/>
        <w:spacing w:after="468"/>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21"/>
    <w:p>
      <w:pPr>
        <w:pStyle w:val="89"/>
        <w:spacing w:after="468"/>
      </w:pPr>
      <w:bookmarkStart w:id="22" w:name="_Toc148526799"/>
      <w:bookmarkStart w:id="23" w:name="BookMark2"/>
      <w:r>
        <w:rPr>
          <w:spacing w:val="320"/>
        </w:rPr>
        <w:t>前</w:t>
      </w:r>
      <w:r>
        <w:t>言</w:t>
      </w:r>
      <w:bookmarkEnd w:id="22"/>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hAnsi="宋体"/>
        </w:rPr>
        <w:t>请注意</w:t>
      </w:r>
      <w:r>
        <w:rPr>
          <w:rFonts w:hAnsi="宋体"/>
        </w:rPr>
        <w:t>本文件的</w:t>
      </w:r>
      <w:r>
        <w:rPr>
          <w:rFonts w:hint="eastAsia" w:hAnsi="宋体"/>
        </w:rPr>
        <w:t>某些</w:t>
      </w:r>
      <w:r>
        <w:rPr>
          <w:rFonts w:hAnsi="宋体"/>
        </w:rPr>
        <w:t>内容</w:t>
      </w:r>
      <w:r>
        <w:rPr>
          <w:rFonts w:hint="eastAsia" w:hAnsi="宋体"/>
        </w:rPr>
        <w:t>可能</w:t>
      </w:r>
      <w:r>
        <w:rPr>
          <w:rFonts w:hAnsi="宋体"/>
        </w:rPr>
        <w:t>涉及专利。本文件</w:t>
      </w:r>
      <w:r>
        <w:rPr>
          <w:rFonts w:hint="eastAsia" w:hAnsi="宋体"/>
        </w:rPr>
        <w:t>的</w:t>
      </w:r>
      <w:r>
        <w:rPr>
          <w:rFonts w:hAnsi="宋体"/>
        </w:rPr>
        <w:t>发布机构不承担识别专利</w:t>
      </w:r>
      <w:r>
        <w:rPr>
          <w:rFonts w:hint="eastAsia" w:hAnsi="宋体"/>
        </w:rPr>
        <w:t>的</w:t>
      </w:r>
      <w:r>
        <w:rPr>
          <w:rFonts w:hAnsi="宋体"/>
        </w:rPr>
        <w:t>责任</w:t>
      </w:r>
      <w:r>
        <w:rPr>
          <w:rFonts w:hint="eastAsia"/>
        </w:rPr>
        <w:t>。</w:t>
      </w:r>
    </w:p>
    <w:p>
      <w:pPr>
        <w:pStyle w:val="56"/>
        <w:ind w:firstLine="420"/>
        <w:rPr>
          <w:rFonts w:hAnsi="宋体"/>
        </w:rPr>
      </w:pPr>
      <w:r>
        <w:rPr>
          <w:rFonts w:hint="eastAsia" w:hAnsi="宋体"/>
        </w:rPr>
        <w:t>本文件由湛江市水务局提出并归口。</w:t>
      </w:r>
    </w:p>
    <w:p>
      <w:pPr>
        <w:pStyle w:val="56"/>
        <w:ind w:firstLine="420"/>
        <w:rPr>
          <w:szCs w:val="21"/>
        </w:rPr>
      </w:pPr>
      <w:r>
        <w:rPr>
          <w:rFonts w:hint="eastAsia" w:hAnsi="宋体"/>
        </w:rPr>
        <w:t>本文件起草单位：湛江市</w:t>
      </w:r>
      <w:r>
        <w:rPr>
          <w:rFonts w:hAnsi="宋体"/>
        </w:rPr>
        <w:t>粤海水务投资集团有限公司、广东省建筑设计研究院有限公司</w:t>
      </w:r>
      <w:r>
        <w:rPr>
          <w:rFonts w:hint="eastAsia" w:hAnsi="宋体"/>
        </w:rPr>
        <w:t>、湛江市</w:t>
      </w:r>
      <w:r>
        <w:rPr>
          <w:rFonts w:hAnsi="宋体"/>
        </w:rPr>
        <w:t>润通水务工程有限公司、青岛三利中德美水设备有限公司、赛莱默（</w:t>
      </w:r>
      <w:r>
        <w:rPr>
          <w:rFonts w:hint="eastAsia" w:hAnsi="宋体"/>
        </w:rPr>
        <w:t>南京</w:t>
      </w:r>
      <w:r>
        <w:rPr>
          <w:rFonts w:hAnsi="宋体"/>
        </w:rPr>
        <w:t>）</w:t>
      </w:r>
      <w:r>
        <w:rPr>
          <w:rFonts w:hint="eastAsia" w:hAnsi="宋体"/>
        </w:rPr>
        <w:t>有限</w:t>
      </w:r>
      <w:r>
        <w:rPr>
          <w:rFonts w:hAnsi="宋体"/>
        </w:rPr>
        <w:t>公司</w:t>
      </w:r>
      <w:r>
        <w:rPr>
          <w:rFonts w:hint="eastAsia" w:hAnsi="宋体"/>
        </w:rPr>
        <w:t>、上海威派格智慧水务股份有限公司</w:t>
      </w:r>
      <w:r>
        <w:rPr>
          <w:rFonts w:hint="eastAsia"/>
        </w:rPr>
        <w:t>。</w:t>
      </w:r>
    </w:p>
    <w:p>
      <w:pPr>
        <w:pStyle w:val="56"/>
        <w:ind w:firstLine="420"/>
      </w:pPr>
      <w:r>
        <w:rPr>
          <w:rFonts w:hint="eastAsia"/>
        </w:rPr>
        <w:t>本文件主要起草人：</w:t>
      </w:r>
    </w:p>
    <w:p>
      <w:pPr>
        <w:pStyle w:val="56"/>
        <w:ind w:firstLine="420"/>
      </w:pP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3"/>
    <w:p>
      <w:pPr>
        <w:pStyle w:val="89"/>
        <w:spacing w:after="468"/>
      </w:pPr>
      <w:bookmarkStart w:id="24" w:name="_Toc148526800"/>
      <w:bookmarkStart w:id="25" w:name="BookMark3"/>
      <w:r>
        <w:rPr>
          <w:spacing w:val="320"/>
        </w:rPr>
        <w:t>引</w:t>
      </w:r>
      <w:r>
        <w:t>言</w:t>
      </w:r>
      <w:bookmarkEnd w:id="24"/>
    </w:p>
    <w:p>
      <w:pPr>
        <w:pStyle w:val="56"/>
        <w:ind w:firstLine="420"/>
      </w:pPr>
      <w:r>
        <w:rPr>
          <w:rFonts w:hint="eastAsia"/>
        </w:rPr>
        <w:t>为规范湛江市供水管网及二次供水系统设计</w:t>
      </w:r>
      <w:r>
        <w:t>、建设和运行</w:t>
      </w:r>
      <w:r>
        <w:rPr>
          <w:rFonts w:hint="eastAsia"/>
        </w:rPr>
        <w:t>管理工作，提高</w:t>
      </w:r>
      <w:r>
        <w:t>工程建设和管理水平，</w:t>
      </w:r>
      <w:r>
        <w:rPr>
          <w:rFonts w:hint="eastAsia"/>
        </w:rPr>
        <w:t>建设安全</w:t>
      </w:r>
      <w:r>
        <w:t>、</w:t>
      </w:r>
      <w:r>
        <w:rPr>
          <w:rFonts w:hint="eastAsia"/>
        </w:rPr>
        <w:t>稳定</w:t>
      </w:r>
      <w:r>
        <w:t>、优质和高</w:t>
      </w:r>
      <w:r>
        <w:rPr>
          <w:rFonts w:hint="eastAsia"/>
        </w:rPr>
        <w:t>效运行的</w:t>
      </w:r>
      <w:r>
        <w:t>二次供水体系，满足用户用水需求，</w:t>
      </w:r>
      <w:r>
        <w:rPr>
          <w:rFonts w:hint="eastAsia"/>
        </w:rPr>
        <w:t>改善供水水质和服务质量，落实GB 5749《生活饮用水卫生标准》的要求，更好地保障生活饮用水质量，根据国家及湛江市有关法律法规、技术标准和要求，结合居民小区供水“最后一公里”将由供水企业全面接管的形势，特制定本文件。</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r>
        <w:rPr>
          <w:rFonts w:hint="eastAsia"/>
        </w:rPr>
        <w:t>本文件目的在于进一步提高居民饮用水服务质量，保障居民饮用水的安全，有利于供水企业“抄表到户，管表到户”的实施。</w:t>
      </w:r>
    </w:p>
    <w:bookmarkEnd w:id="25"/>
    <w:p>
      <w:pPr>
        <w:spacing w:line="20" w:lineRule="exact"/>
        <w:jc w:val="center"/>
        <w:rPr>
          <w:rFonts w:ascii="黑体" w:hAnsi="黑体" w:eastAsia="黑体"/>
          <w:sz w:val="32"/>
          <w:szCs w:val="32"/>
        </w:rPr>
      </w:pPr>
      <w:bookmarkStart w:id="26" w:name="BookMark4"/>
    </w:p>
    <w:p>
      <w:pPr>
        <w:spacing w:line="20" w:lineRule="exact"/>
        <w:jc w:val="center"/>
        <w:rPr>
          <w:rFonts w:ascii="黑体" w:hAnsi="黑体" w:eastAsia="黑体"/>
          <w:sz w:val="32"/>
          <w:szCs w:val="32"/>
        </w:rPr>
      </w:pPr>
    </w:p>
    <w:sdt>
      <w:sdtPr>
        <w:tag w:val="NEW_STAND_NAME"/>
        <w:id w:val="595910757"/>
        <w:lock w:val="sdtLocked"/>
        <w:placeholder>
          <w:docPart w:val="D956746661FE4D148254328BD864EB57"/>
        </w:placeholder>
      </w:sdtPr>
      <w:sdtContent>
        <w:p>
          <w:pPr>
            <w:pStyle w:val="177"/>
            <w:spacing w:before="312" w:beforeLines="100" w:after="686" w:afterLines="220"/>
          </w:pPr>
          <w:bookmarkStart w:id="27" w:name="NEW_STAND_NAME"/>
          <w:r>
            <w:rPr>
              <w:rFonts w:hint="eastAsia"/>
            </w:rPr>
            <w:t>供水管网及二次供水工程技术规程</w:t>
          </w:r>
        </w:p>
      </w:sdtContent>
    </w:sdt>
    <w:bookmarkEnd w:id="27"/>
    <w:p>
      <w:pPr>
        <w:pStyle w:val="104"/>
        <w:spacing w:before="312" w:after="312"/>
      </w:pPr>
      <w:bookmarkStart w:id="28" w:name="_Toc17233325"/>
      <w:bookmarkStart w:id="29" w:name="_Toc148526801"/>
      <w:bookmarkStart w:id="30" w:name="_Toc24884211"/>
      <w:bookmarkStart w:id="31" w:name="_Toc26718930"/>
      <w:bookmarkStart w:id="32" w:name="_Toc26986530"/>
      <w:bookmarkStart w:id="33" w:name="_Toc17233333"/>
      <w:bookmarkStart w:id="34" w:name="_Toc24884218"/>
      <w:bookmarkStart w:id="35" w:name="_Toc26986771"/>
      <w:bookmarkStart w:id="36" w:name="_Toc26648465"/>
      <w:bookmarkStart w:id="37" w:name="_Toc97191423"/>
      <w:r>
        <w:rPr>
          <w:rFonts w:hint="eastAsia"/>
        </w:rPr>
        <w:t>范围</w:t>
      </w:r>
      <w:bookmarkEnd w:id="28"/>
      <w:bookmarkEnd w:id="29"/>
      <w:bookmarkEnd w:id="30"/>
      <w:bookmarkEnd w:id="31"/>
      <w:bookmarkEnd w:id="32"/>
      <w:bookmarkEnd w:id="33"/>
      <w:bookmarkEnd w:id="34"/>
      <w:bookmarkEnd w:id="35"/>
      <w:bookmarkEnd w:id="36"/>
      <w:bookmarkEnd w:id="37"/>
    </w:p>
    <w:p>
      <w:pPr>
        <w:pStyle w:val="56"/>
        <w:ind w:firstLine="420"/>
      </w:pPr>
      <w:bookmarkStart w:id="38" w:name="_Toc17233334"/>
      <w:bookmarkStart w:id="39" w:name="_Toc24884212"/>
      <w:bookmarkStart w:id="40" w:name="_Toc24884219"/>
      <w:bookmarkStart w:id="41" w:name="_Toc26648466"/>
      <w:bookmarkStart w:id="42" w:name="_Toc17233326"/>
      <w:r>
        <w:rPr>
          <w:rFonts w:hint="eastAsia"/>
        </w:rPr>
        <w:t>本文件规定了湛江市区内城镇民用与工业建筑生活饮用水供水管网设计</w:t>
      </w:r>
      <w:r>
        <w:t>、</w:t>
      </w:r>
      <w:r>
        <w:rPr>
          <w:rFonts w:hint="eastAsia"/>
        </w:rPr>
        <w:t>二次供水设计、设备选型与</w:t>
      </w:r>
      <w:r>
        <w:t>要求</w:t>
      </w:r>
      <w:r>
        <w:rPr>
          <w:rFonts w:hint="eastAsia"/>
        </w:rPr>
        <w:t>、设备</w:t>
      </w:r>
      <w:r>
        <w:t>组件要求</w:t>
      </w:r>
      <w:r>
        <w:rPr>
          <w:rFonts w:hint="eastAsia"/>
        </w:rPr>
        <w:t>、</w:t>
      </w:r>
      <w:r>
        <w:t>管材及</w:t>
      </w:r>
      <w:r>
        <w:rPr>
          <w:rFonts w:hint="eastAsia"/>
        </w:rPr>
        <w:t>附属设施</w:t>
      </w:r>
      <w:r>
        <w:t>、</w:t>
      </w:r>
      <w:r>
        <w:rPr>
          <w:rFonts w:hint="eastAsia"/>
        </w:rPr>
        <w:t>电气</w:t>
      </w:r>
      <w:r>
        <w:t>、自控与安防、</w:t>
      </w:r>
      <w:r>
        <w:rPr>
          <w:rFonts w:hint="eastAsia"/>
        </w:rPr>
        <w:t>施工、安装调试、验收、智能管理及</w:t>
      </w:r>
      <w:r>
        <w:t>施</w:t>
      </w:r>
      <w:r>
        <w:rPr>
          <w:rFonts w:hint="eastAsia"/>
        </w:rPr>
        <w:t>运行</w:t>
      </w:r>
      <w:r>
        <w:t>维护管理</w:t>
      </w:r>
      <w:r>
        <w:rPr>
          <w:rFonts w:hint="eastAsia"/>
        </w:rPr>
        <w:t>的要求。</w:t>
      </w:r>
    </w:p>
    <w:p>
      <w:pPr>
        <w:pStyle w:val="56"/>
        <w:ind w:firstLine="420"/>
      </w:pPr>
      <w:r>
        <w:rPr>
          <w:rFonts w:hint="eastAsia"/>
        </w:rPr>
        <w:t>本文件适用于湛江市范围内城镇新建、改（扩）建的民用与工业建筑生活饮用水供水管网及生活二次供水设施的建设和运行维护管理。</w:t>
      </w:r>
      <w:r>
        <w:t xml:space="preserve"> </w:t>
      </w:r>
    </w:p>
    <w:p>
      <w:pPr>
        <w:pStyle w:val="104"/>
        <w:spacing w:before="312" w:after="312"/>
      </w:pPr>
      <w:bookmarkStart w:id="43" w:name="_Toc148526802"/>
      <w:bookmarkStart w:id="44" w:name="_Toc26986772"/>
      <w:bookmarkStart w:id="45" w:name="_Toc97191424"/>
      <w:bookmarkStart w:id="46" w:name="_Toc26718931"/>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7158C80FFE2B461BBF83DF9781D6CF0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rPr>
          <w:rFonts w:hint="eastAsia"/>
        </w:rPr>
        <w:t>GB/T 778.1  饮用冷水水表和热水水表　第1部分：计量要求和技术要求</w:t>
      </w:r>
    </w:p>
    <w:p>
      <w:pPr>
        <w:pStyle w:val="56"/>
        <w:ind w:firstLine="420"/>
      </w:pPr>
      <w:r>
        <w:rPr>
          <w:rFonts w:hint="eastAsia"/>
        </w:rPr>
        <w:t>GB/T 778.5  饮用冷水水表和热水水表　第5部分：安装要求</w:t>
      </w:r>
    </w:p>
    <w:p>
      <w:pPr>
        <w:pStyle w:val="56"/>
        <w:ind w:firstLine="420"/>
      </w:pPr>
      <w:r>
        <w:rPr>
          <w:rFonts w:hint="eastAsia"/>
        </w:rPr>
        <w:t>GB 3096  声环境质量标准</w:t>
      </w:r>
    </w:p>
    <w:p>
      <w:pPr>
        <w:pStyle w:val="56"/>
        <w:ind w:firstLine="420"/>
      </w:pPr>
      <w:r>
        <w:rPr>
          <w:rFonts w:hint="eastAsia"/>
        </w:rPr>
        <w:t>GB/T 3797  电气控制设备</w:t>
      </w:r>
    </w:p>
    <w:p>
      <w:pPr>
        <w:pStyle w:val="56"/>
        <w:ind w:firstLine="420"/>
      </w:pPr>
      <w:r>
        <w:rPr>
          <w:rFonts w:hint="eastAsia"/>
        </w:rPr>
        <w:t>GB 4806.1  食品安全国家标准　食品接触材料及制品通用安全要求</w:t>
      </w:r>
    </w:p>
    <w:p>
      <w:pPr>
        <w:pStyle w:val="56"/>
        <w:ind w:firstLine="420"/>
      </w:pPr>
      <w:r>
        <w:rPr>
          <w:rFonts w:hint="eastAsia"/>
        </w:rPr>
        <w:t>GB 5749  生活饮用水卫生标准</w:t>
      </w:r>
    </w:p>
    <w:p>
      <w:pPr>
        <w:pStyle w:val="56"/>
        <w:ind w:firstLine="420"/>
      </w:pPr>
      <w:r>
        <w:rPr>
          <w:rFonts w:hint="eastAsia"/>
        </w:rPr>
        <w:t xml:space="preserve">GB/T 5750  生活饮用水卫生标准 生活饮用水标准检验方法 </w:t>
      </w:r>
    </w:p>
    <w:p>
      <w:pPr>
        <w:pStyle w:val="56"/>
        <w:ind w:firstLine="420"/>
      </w:pPr>
      <w:r>
        <w:rPr>
          <w:rFonts w:hint="eastAsia"/>
        </w:rPr>
        <w:t>GB/T</w:t>
      </w:r>
      <w:r>
        <w:t xml:space="preserve"> </w:t>
      </w:r>
      <w:r>
        <w:rPr>
          <w:rFonts w:hint="eastAsia"/>
        </w:rPr>
        <w:t>12232  通用阀门　法兰连接铁制闸阀</w:t>
      </w:r>
    </w:p>
    <w:p>
      <w:pPr>
        <w:pStyle w:val="56"/>
        <w:ind w:firstLine="420"/>
      </w:pPr>
      <w:r>
        <w:rPr>
          <w:rFonts w:hint="eastAsia"/>
        </w:rPr>
        <w:t>GB/T</w:t>
      </w:r>
      <w:r>
        <w:t xml:space="preserve"> </w:t>
      </w:r>
      <w:r>
        <w:rPr>
          <w:rFonts w:hint="eastAsia"/>
        </w:rPr>
        <w:t>12238  法兰和对夹连接弹性密封蝶阀</w:t>
      </w:r>
    </w:p>
    <w:p>
      <w:pPr>
        <w:pStyle w:val="56"/>
        <w:ind w:firstLine="420"/>
      </w:pPr>
      <w:r>
        <w:rPr>
          <w:rFonts w:hint="eastAsia"/>
        </w:rPr>
        <w:t>GB 17051  二次供水设施卫生规范</w:t>
      </w:r>
    </w:p>
    <w:p>
      <w:pPr>
        <w:pStyle w:val="56"/>
        <w:ind w:firstLine="420"/>
      </w:pPr>
      <w:r>
        <w:rPr>
          <w:rFonts w:hint="eastAsia"/>
        </w:rPr>
        <w:t>GB/T 17219  生活饮用水输配水设备及防护材料的安全性评价标准</w:t>
      </w:r>
    </w:p>
    <w:p>
      <w:pPr>
        <w:pStyle w:val="56"/>
        <w:ind w:firstLine="420"/>
      </w:pPr>
      <w:r>
        <w:t xml:space="preserve">GB/T 17702  </w:t>
      </w:r>
      <w:r>
        <w:rPr>
          <w:rFonts w:hint="eastAsia"/>
        </w:rPr>
        <w:t>电力电子电容器</w:t>
      </w:r>
    </w:p>
    <w:p>
      <w:pPr>
        <w:pStyle w:val="56"/>
        <w:ind w:firstLine="420"/>
      </w:pPr>
      <w:r>
        <w:rPr>
          <w:rFonts w:hint="eastAsia"/>
        </w:rPr>
        <w:t>GB 18613  电动机能效限定值及能效等级</w:t>
      </w:r>
    </w:p>
    <w:p>
      <w:pPr>
        <w:pStyle w:val="56"/>
        <w:ind w:firstLine="420"/>
      </w:pPr>
      <w:r>
        <w:t xml:space="preserve">GB/T 24603  </w:t>
      </w:r>
      <w:r>
        <w:rPr>
          <w:rFonts w:hint="eastAsia"/>
        </w:rPr>
        <w:t>箱式叠压给水设备</w:t>
      </w:r>
    </w:p>
    <w:p>
      <w:pPr>
        <w:pStyle w:val="56"/>
        <w:ind w:firstLine="420"/>
      </w:pPr>
      <w:r>
        <w:t xml:space="preserve">GB/T 26003  </w:t>
      </w:r>
      <w:r>
        <w:rPr>
          <w:rFonts w:hint="eastAsia"/>
        </w:rPr>
        <w:t>无负压管网增压稳流给水设备</w:t>
      </w:r>
    </w:p>
    <w:p>
      <w:pPr>
        <w:pStyle w:val="56"/>
        <w:ind w:firstLine="420"/>
      </w:pPr>
      <w:r>
        <w:rPr>
          <w:rFonts w:hint="eastAsia"/>
        </w:rPr>
        <w:t>GB 28181  公共安全视频监控联网系统信息传输、交换、控制技术要求</w:t>
      </w:r>
    </w:p>
    <w:p>
      <w:pPr>
        <w:pStyle w:val="56"/>
        <w:ind w:firstLine="420"/>
      </w:pPr>
      <w:r>
        <w:rPr>
          <w:rFonts w:hint="eastAsia"/>
        </w:rPr>
        <w:t>GB/T 29529  泵的噪声测量与评价方法</w:t>
      </w:r>
    </w:p>
    <w:p>
      <w:pPr>
        <w:pStyle w:val="56"/>
        <w:ind w:firstLine="420"/>
      </w:pPr>
      <w:r>
        <w:rPr>
          <w:rFonts w:hint="eastAsia"/>
        </w:rPr>
        <w:t>GB/T 295</w:t>
      </w:r>
      <w:r>
        <w:t>31</w:t>
      </w:r>
      <w:r>
        <w:rPr>
          <w:rFonts w:hint="eastAsia"/>
        </w:rPr>
        <w:t xml:space="preserve">  泵的振动测量与评价方法</w:t>
      </w:r>
    </w:p>
    <w:p>
      <w:pPr>
        <w:pStyle w:val="56"/>
        <w:ind w:firstLine="420"/>
      </w:pPr>
      <w:r>
        <w:rPr>
          <w:rFonts w:hint="eastAsia"/>
        </w:rPr>
        <w:t>GB 5001</w:t>
      </w:r>
      <w:r>
        <w:t xml:space="preserve">3  </w:t>
      </w:r>
      <w:r>
        <w:rPr>
          <w:rFonts w:hint="eastAsia"/>
        </w:rPr>
        <w:t>室外给水设计标准</w:t>
      </w:r>
    </w:p>
    <w:p>
      <w:pPr>
        <w:pStyle w:val="56"/>
        <w:ind w:firstLine="420"/>
      </w:pPr>
      <w:r>
        <w:rPr>
          <w:rFonts w:hint="eastAsia"/>
        </w:rPr>
        <w:t>GB 50015  建筑给水排水设计规范</w:t>
      </w:r>
    </w:p>
    <w:p>
      <w:pPr>
        <w:pStyle w:val="56"/>
        <w:ind w:firstLine="420"/>
      </w:pPr>
      <w:r>
        <w:rPr>
          <w:rFonts w:hint="eastAsia"/>
        </w:rPr>
        <w:t>GB 5001</w:t>
      </w:r>
      <w:r>
        <w:t>6</w:t>
      </w:r>
      <w:r>
        <w:rPr>
          <w:rFonts w:hint="eastAsia"/>
        </w:rPr>
        <w:t xml:space="preserve">  建筑设计防火规范（2018年版）</w:t>
      </w:r>
    </w:p>
    <w:p>
      <w:pPr>
        <w:pStyle w:val="56"/>
        <w:ind w:firstLine="420"/>
      </w:pPr>
      <w:r>
        <w:rPr>
          <w:rFonts w:hint="eastAsia"/>
        </w:rPr>
        <w:t>GB 50034  建筑照明设计标准</w:t>
      </w:r>
    </w:p>
    <w:p>
      <w:pPr>
        <w:pStyle w:val="56"/>
        <w:ind w:firstLine="420"/>
      </w:pPr>
      <w:r>
        <w:rPr>
          <w:rFonts w:hint="eastAsia"/>
        </w:rPr>
        <w:t>GB 50055  通用用电设备配电设计规范</w:t>
      </w:r>
    </w:p>
    <w:p>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GB 50057  建筑物防雷设计规范</w:t>
      </w:r>
    </w:p>
    <w:p>
      <w:pPr>
        <w:pStyle w:val="56"/>
        <w:ind w:firstLine="420"/>
      </w:pPr>
      <w:r>
        <w:rPr>
          <w:rFonts w:hint="eastAsia"/>
        </w:rPr>
        <w:t>GB/T 50065  交流电气装置的接地设计规范</w:t>
      </w:r>
    </w:p>
    <w:p>
      <w:pPr>
        <w:pStyle w:val="56"/>
        <w:ind w:firstLine="420"/>
      </w:pPr>
      <w:r>
        <w:t xml:space="preserve">GB 50083  </w:t>
      </w:r>
      <w:r>
        <w:rPr>
          <w:rFonts w:hint="eastAsia"/>
        </w:rPr>
        <w:t>工程结构设计基本术语标准</w:t>
      </w:r>
    </w:p>
    <w:p>
      <w:pPr>
        <w:pStyle w:val="56"/>
        <w:ind w:firstLine="420"/>
      </w:pPr>
      <w:r>
        <w:rPr>
          <w:rFonts w:hint="eastAsia"/>
        </w:rPr>
        <w:t>GB 50118  民用建筑隔声设计规范</w:t>
      </w:r>
    </w:p>
    <w:p>
      <w:pPr>
        <w:pStyle w:val="56"/>
        <w:ind w:firstLine="420"/>
      </w:pPr>
      <w:r>
        <w:rPr>
          <w:rFonts w:hint="eastAsia"/>
        </w:rPr>
        <w:t>G</w:t>
      </w:r>
      <w:r>
        <w:t>B 50141</w:t>
      </w:r>
      <w:r>
        <w:rPr>
          <w:rFonts w:hint="eastAsia"/>
        </w:rPr>
        <w:t xml:space="preserve">  给水排水构筑物工程施工及验收规范</w:t>
      </w:r>
    </w:p>
    <w:p>
      <w:pPr>
        <w:pStyle w:val="56"/>
        <w:ind w:firstLine="420"/>
      </w:pPr>
      <w:r>
        <w:t xml:space="preserve">GB 50174  </w:t>
      </w:r>
      <w:r>
        <w:rPr>
          <w:rFonts w:hint="eastAsia"/>
        </w:rPr>
        <w:t>数据中心设计规范</w:t>
      </w:r>
    </w:p>
    <w:p>
      <w:pPr>
        <w:pStyle w:val="56"/>
        <w:ind w:firstLine="420"/>
      </w:pPr>
      <w:r>
        <w:rPr>
          <w:rFonts w:hint="eastAsia"/>
        </w:rPr>
        <w:t>GB</w:t>
      </w:r>
      <w:r>
        <w:t xml:space="preserve"> </w:t>
      </w:r>
      <w:r>
        <w:rPr>
          <w:rFonts w:hint="eastAsia"/>
        </w:rPr>
        <w:t>50231  机械设备安装工程施工及验收通用规范</w:t>
      </w:r>
    </w:p>
    <w:p>
      <w:pPr>
        <w:pStyle w:val="56"/>
        <w:ind w:firstLine="420"/>
      </w:pPr>
      <w:r>
        <w:rPr>
          <w:rFonts w:hint="eastAsia"/>
        </w:rPr>
        <w:t>GB 50242  建筑给水排水及采暖工程施工质量验收规范</w:t>
      </w:r>
    </w:p>
    <w:p>
      <w:pPr>
        <w:pStyle w:val="56"/>
        <w:ind w:firstLine="420"/>
      </w:pPr>
      <w:r>
        <w:rPr>
          <w:rFonts w:hint="eastAsia"/>
        </w:rPr>
        <w:t>G</w:t>
      </w:r>
      <w:r>
        <w:t>B 50268</w:t>
      </w:r>
      <w:r>
        <w:rPr>
          <w:rFonts w:hint="eastAsia"/>
        </w:rPr>
        <w:t xml:space="preserve">  给水排水管道工程施工及验收规范</w:t>
      </w:r>
    </w:p>
    <w:p>
      <w:pPr>
        <w:pStyle w:val="56"/>
        <w:ind w:firstLine="420"/>
      </w:pPr>
      <w:r>
        <w:rPr>
          <w:rFonts w:hint="eastAsia"/>
        </w:rPr>
        <w:t>GB 50275  风机、压缩机、泵安装工程施工及验收规范</w:t>
      </w:r>
    </w:p>
    <w:p>
      <w:pPr>
        <w:pStyle w:val="56"/>
        <w:ind w:firstLine="420"/>
      </w:pPr>
      <w:r>
        <w:rPr>
          <w:rFonts w:hint="eastAsia"/>
        </w:rPr>
        <w:t xml:space="preserve">GB 50289 </w:t>
      </w:r>
      <w:r>
        <w:t xml:space="preserve"> </w:t>
      </w:r>
      <w:r>
        <w:rPr>
          <w:rFonts w:hint="eastAsia"/>
        </w:rPr>
        <w:t>城市工程管线综合规划规范</w:t>
      </w:r>
    </w:p>
    <w:p>
      <w:pPr>
        <w:pStyle w:val="56"/>
        <w:ind w:firstLine="420"/>
      </w:pPr>
      <w:r>
        <w:rPr>
          <w:rFonts w:hint="eastAsia"/>
        </w:rPr>
        <w:t>GB</w:t>
      </w:r>
      <w:r>
        <w:t xml:space="preserve"> </w:t>
      </w:r>
      <w:r>
        <w:rPr>
          <w:rFonts w:hint="eastAsia"/>
        </w:rPr>
        <w:t>50300  建筑工程施工质量验收统一标准</w:t>
      </w:r>
    </w:p>
    <w:p>
      <w:pPr>
        <w:pStyle w:val="56"/>
        <w:ind w:firstLine="420"/>
      </w:pPr>
      <w:r>
        <w:rPr>
          <w:rFonts w:hint="eastAsia"/>
        </w:rPr>
        <w:t xml:space="preserve">GB </w:t>
      </w:r>
      <w:r>
        <w:t xml:space="preserve">50303  </w:t>
      </w:r>
      <w:r>
        <w:rPr>
          <w:rFonts w:hint="eastAsia"/>
        </w:rPr>
        <w:t>建筑电气工程施工质量验收规范</w:t>
      </w:r>
    </w:p>
    <w:p>
      <w:pPr>
        <w:pStyle w:val="56"/>
        <w:ind w:firstLine="420"/>
      </w:pPr>
      <w:r>
        <w:rPr>
          <w:rFonts w:hint="eastAsia"/>
        </w:rPr>
        <w:t>GB/T</w:t>
      </w:r>
      <w:r>
        <w:t xml:space="preserve"> </w:t>
      </w:r>
      <w:r>
        <w:rPr>
          <w:rFonts w:hint="eastAsia"/>
        </w:rPr>
        <w:t>50331  城市居民生活用水量标准</w:t>
      </w:r>
      <w:r>
        <w:t xml:space="preserve"> </w:t>
      </w:r>
    </w:p>
    <w:p>
      <w:pPr>
        <w:pStyle w:val="56"/>
        <w:ind w:firstLine="420"/>
      </w:pPr>
      <w:r>
        <w:t xml:space="preserve">GB 50343  </w:t>
      </w:r>
      <w:r>
        <w:rPr>
          <w:rFonts w:hint="eastAsia"/>
        </w:rPr>
        <w:t>建筑物电子信息系统防雷技术规范</w:t>
      </w:r>
    </w:p>
    <w:p>
      <w:pPr>
        <w:pStyle w:val="56"/>
        <w:ind w:firstLine="420"/>
      </w:pPr>
      <w:r>
        <w:t xml:space="preserve">GB 50347  </w:t>
      </w:r>
      <w:r>
        <w:rPr>
          <w:rFonts w:hint="eastAsia"/>
        </w:rPr>
        <w:t>干粉灭火系统设计规范</w:t>
      </w:r>
    </w:p>
    <w:p>
      <w:pPr>
        <w:pStyle w:val="56"/>
        <w:ind w:firstLine="420"/>
      </w:pPr>
      <w:r>
        <w:t xml:space="preserve">GB 50348  </w:t>
      </w:r>
      <w:r>
        <w:rPr>
          <w:rFonts w:hint="eastAsia"/>
        </w:rPr>
        <w:t>安全防范工程技术规范</w:t>
      </w:r>
    </w:p>
    <w:p>
      <w:pPr>
        <w:pStyle w:val="56"/>
        <w:ind w:firstLine="420"/>
      </w:pPr>
      <w:r>
        <w:t xml:space="preserve">GB 50736  </w:t>
      </w:r>
      <w:r>
        <w:rPr>
          <w:rFonts w:hint="eastAsia"/>
        </w:rPr>
        <w:t>民用建筑供暖通风与空气调节设计规范</w:t>
      </w:r>
    </w:p>
    <w:p>
      <w:pPr>
        <w:pStyle w:val="56"/>
        <w:ind w:firstLine="420"/>
      </w:pPr>
      <w:r>
        <w:rPr>
          <w:rFonts w:hint="eastAsia"/>
        </w:rPr>
        <w:t>CJ/T 352  微机控制变频调速给水设备</w:t>
      </w:r>
    </w:p>
    <w:p>
      <w:pPr>
        <w:pStyle w:val="56"/>
        <w:ind w:firstLine="420"/>
      </w:pPr>
      <w:r>
        <w:rPr>
          <w:rFonts w:hint="eastAsia"/>
        </w:rPr>
        <w:t>CJJ 140  二次供水工程技术规程</w:t>
      </w:r>
    </w:p>
    <w:p>
      <w:pPr>
        <w:pStyle w:val="56"/>
        <w:ind w:firstLine="420"/>
      </w:pPr>
      <w:r>
        <w:rPr>
          <w:rFonts w:hint="eastAsia"/>
        </w:rPr>
        <w:t>JB 4732  钢制压力容器 分析设计标准</w:t>
      </w:r>
    </w:p>
    <w:p>
      <w:pPr>
        <w:pStyle w:val="56"/>
        <w:ind w:firstLine="420"/>
      </w:pPr>
      <w:r>
        <w:rPr>
          <w:rFonts w:hint="eastAsia"/>
        </w:rPr>
        <w:t>YB 9073  钢制压力容器设计技术规定</w:t>
      </w:r>
    </w:p>
    <w:p>
      <w:pPr>
        <w:pStyle w:val="104"/>
        <w:spacing w:before="312" w:after="312"/>
      </w:pPr>
      <w:bookmarkStart w:id="48" w:name="_Toc97191425"/>
      <w:bookmarkStart w:id="49" w:name="_Toc148526803"/>
      <w:r>
        <w:rPr>
          <w:rFonts w:hint="eastAsia"/>
          <w:szCs w:val="21"/>
        </w:rPr>
        <w:t>术语和定义</w:t>
      </w:r>
      <w:bookmarkEnd w:id="48"/>
      <w:bookmarkEnd w:id="49"/>
    </w:p>
    <w:sdt>
      <w:sdtPr>
        <w:id w:val="-1909835108"/>
        <w:placeholder>
          <w:docPart w:val="EB9F5340E6DF4AED9AA322F70387A8B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0" w:name="_Toc26986532"/>
          <w:bookmarkEnd w:id="50"/>
          <w:r>
            <w:t>下列术语和定义适用于本文件。</w:t>
          </w:r>
        </w:p>
      </w:sdtContent>
    </w:sdt>
    <w:p>
      <w:pPr>
        <w:pStyle w:val="223"/>
      </w:pPr>
    </w:p>
    <w:p>
      <w:pPr>
        <w:pStyle w:val="223"/>
        <w:numPr>
          <w:ilvl w:val="0"/>
          <w:numId w:val="0"/>
        </w:numPr>
        <w:ind w:firstLine="420" w:firstLineChars="200"/>
      </w:pPr>
      <w:r>
        <w:rPr>
          <w:rFonts w:hint="eastAsia" w:ascii="黑体" w:hAnsi="黑体" w:eastAsia="黑体"/>
        </w:rPr>
        <w:t>二次供水设备设施</w:t>
      </w:r>
      <w:r>
        <w:rPr>
          <w:rFonts w:hint="eastAsia"/>
        </w:rPr>
        <w:t xml:space="preserve"> </w:t>
      </w:r>
      <w:r>
        <w:t>Secondary pressurization and storage water supply facilities</w:t>
      </w:r>
    </w:p>
    <w:p>
      <w:pPr>
        <w:pStyle w:val="56"/>
        <w:ind w:firstLine="420"/>
      </w:pPr>
      <w:r>
        <w:rPr>
          <w:rFonts w:hint="eastAsia"/>
        </w:rPr>
        <w:t>用于保障二次供水水质、水压、水量而设置的设备、管线，包括贮水池（箱）、泵房、水泵机组（含水泵、电机）、压力罐、电控设备、消毒设备、管道、阀门及附属设施等。</w:t>
      </w:r>
    </w:p>
    <w:p>
      <w:pPr>
        <w:pStyle w:val="223"/>
        <w:rPr>
          <w:rFonts w:hAnsi="宋体"/>
        </w:rPr>
      </w:pPr>
    </w:p>
    <w:p>
      <w:pPr>
        <w:pStyle w:val="223"/>
        <w:numPr>
          <w:ilvl w:val="0"/>
          <w:numId w:val="0"/>
        </w:numPr>
        <w:ind w:firstLine="525" w:firstLineChars="250"/>
        <w:rPr>
          <w:rFonts w:ascii="黑体" w:hAnsi="黑体" w:eastAsia="黑体"/>
        </w:rPr>
      </w:pPr>
      <w:r>
        <w:rPr>
          <w:rFonts w:hint="eastAsia" w:ascii="黑体" w:hAnsi="黑体" w:eastAsia="黑体"/>
        </w:rPr>
        <w:t>入户管 inlet pipe</w:t>
      </w:r>
    </w:p>
    <w:p>
      <w:pPr>
        <w:pStyle w:val="223"/>
        <w:numPr>
          <w:ilvl w:val="0"/>
          <w:numId w:val="0"/>
        </w:numPr>
        <w:ind w:firstLine="525" w:firstLineChars="250"/>
        <w:rPr>
          <w:rFonts w:hAnsi="宋体"/>
        </w:rPr>
      </w:pPr>
      <w:r>
        <w:rPr>
          <w:rFonts w:hint="eastAsia" w:hAnsi="宋体"/>
        </w:rPr>
        <w:t>从给水系统单独供至每个住户的生活给水管段。</w:t>
      </w:r>
    </w:p>
    <w:p>
      <w:pPr>
        <w:pStyle w:val="223"/>
        <w:rPr>
          <w:rFonts w:ascii="黑体" w:hAnsi="黑体" w:eastAsia="黑体"/>
        </w:rPr>
      </w:pPr>
    </w:p>
    <w:p>
      <w:pPr>
        <w:pStyle w:val="223"/>
        <w:numPr>
          <w:ilvl w:val="0"/>
          <w:numId w:val="0"/>
        </w:numPr>
        <w:ind w:firstLine="525" w:firstLineChars="250"/>
        <w:rPr>
          <w:rFonts w:ascii="黑体" w:hAnsi="黑体" w:eastAsia="黑体"/>
        </w:rPr>
      </w:pPr>
      <w:r>
        <w:rPr>
          <w:rFonts w:hint="eastAsia" w:ascii="黑体" w:hAnsi="黑体" w:eastAsia="黑体"/>
        </w:rPr>
        <w:t>变频调速供水设备water supply equipment of VFD</w:t>
      </w:r>
    </w:p>
    <w:p>
      <w:pPr>
        <w:pStyle w:val="223"/>
        <w:numPr>
          <w:ilvl w:val="0"/>
          <w:numId w:val="0"/>
        </w:numPr>
        <w:ind w:firstLine="525" w:firstLineChars="250"/>
        <w:rPr>
          <w:rFonts w:hAnsi="宋体"/>
        </w:rPr>
      </w:pPr>
      <w:r>
        <w:rPr>
          <w:rFonts w:hint="eastAsia" w:hAnsi="宋体"/>
        </w:rPr>
        <w:t>由变频器改变电机供电频率、运转速度，实现恒压变量供水的设备。</w:t>
      </w:r>
    </w:p>
    <w:p>
      <w:pPr>
        <w:pStyle w:val="223"/>
        <w:rPr>
          <w:rFonts w:ascii="黑体" w:hAnsi="黑体" w:eastAsia="黑体"/>
        </w:rPr>
      </w:pPr>
    </w:p>
    <w:p>
      <w:pPr>
        <w:pStyle w:val="223"/>
        <w:numPr>
          <w:ilvl w:val="0"/>
          <w:numId w:val="0"/>
        </w:numPr>
        <w:ind w:firstLine="525" w:firstLineChars="250"/>
        <w:rPr>
          <w:rFonts w:ascii="黑体" w:hAnsi="黑体" w:eastAsia="黑体"/>
        </w:rPr>
      </w:pPr>
      <w:r>
        <w:rPr>
          <w:rFonts w:hint="eastAsia" w:ascii="黑体" w:hAnsi="黑体" w:eastAsia="黑体"/>
        </w:rPr>
        <w:t>叠压供水 pressure</w:t>
      </w:r>
      <w:r>
        <w:rPr>
          <w:rFonts w:ascii="黑体" w:hAnsi="黑体" w:eastAsia="黑体"/>
        </w:rPr>
        <w:t xml:space="preserve"> superposed</w:t>
      </w:r>
      <w:r>
        <w:rPr>
          <w:rFonts w:hint="eastAsia" w:ascii="黑体" w:hAnsi="黑体" w:eastAsia="黑体"/>
        </w:rPr>
        <w:t xml:space="preserve"> water supply</w:t>
      </w:r>
    </w:p>
    <w:p>
      <w:pPr>
        <w:pStyle w:val="223"/>
        <w:numPr>
          <w:ilvl w:val="0"/>
          <w:numId w:val="0"/>
        </w:numPr>
        <w:ind w:firstLine="525" w:firstLineChars="250"/>
        <w:rPr>
          <w:rFonts w:hAnsi="宋体"/>
        </w:rPr>
      </w:pPr>
      <w:r>
        <w:rPr>
          <w:rFonts w:hint="eastAsia" w:hAnsi="宋体"/>
        </w:rPr>
        <w:t>利用市政供水管网压力直接增压，保证供水管网水压不低于设定压力值，保证对市政供水不产生真空抽吸，且水质不发生污染的二次供水方式。</w:t>
      </w:r>
    </w:p>
    <w:p>
      <w:pPr>
        <w:pStyle w:val="223"/>
        <w:rPr>
          <w:rFonts w:ascii="黑体" w:hAnsi="黑体" w:eastAsia="黑体"/>
        </w:rPr>
      </w:pPr>
    </w:p>
    <w:p>
      <w:pPr>
        <w:pStyle w:val="223"/>
        <w:numPr>
          <w:ilvl w:val="0"/>
          <w:numId w:val="0"/>
        </w:numPr>
        <w:ind w:firstLine="525" w:firstLineChars="250"/>
      </w:pPr>
      <w:r>
        <w:rPr>
          <w:rFonts w:hint="eastAsia" w:ascii="黑体" w:hAnsi="黑体" w:eastAsia="黑体"/>
        </w:rPr>
        <w:t xml:space="preserve">远传监控系统 </w:t>
      </w:r>
      <w:r>
        <w:rPr>
          <w:rFonts w:ascii="Times New Roman"/>
          <w:color w:val="000000"/>
          <w:sz w:val="20"/>
          <w:lang w:bidi="ar"/>
        </w:rPr>
        <w:t>remote monitoring system</w:t>
      </w:r>
    </w:p>
    <w:p>
      <w:pPr>
        <w:pStyle w:val="223"/>
        <w:numPr>
          <w:ilvl w:val="0"/>
          <w:numId w:val="0"/>
        </w:numPr>
        <w:ind w:firstLine="525" w:firstLineChars="250"/>
        <w:rPr>
          <w:rFonts w:hAnsi="宋体"/>
        </w:rPr>
      </w:pPr>
      <w:r>
        <w:rPr>
          <w:rFonts w:hAnsi="宋体"/>
        </w:rPr>
        <w:t>为实现二次供水远程监控功能建设的信息采集、响应执行、网络通讯和监控调度等软件和硬件的集成系统。</w:t>
      </w:r>
    </w:p>
    <w:p>
      <w:pPr>
        <w:pStyle w:val="104"/>
        <w:spacing w:before="312" w:after="312"/>
      </w:pPr>
      <w:bookmarkStart w:id="51" w:name="_Toc148526804"/>
      <w:r>
        <w:rPr>
          <w:rFonts w:hint="eastAsia"/>
        </w:rPr>
        <w:t>供水</w:t>
      </w:r>
      <w:r>
        <w:t>管网设计</w:t>
      </w:r>
      <w:bookmarkEnd w:id="51"/>
    </w:p>
    <w:p>
      <w:pPr>
        <w:pStyle w:val="105"/>
        <w:spacing w:before="156" w:after="156"/>
      </w:pPr>
      <w:bookmarkStart w:id="52" w:name="_Toc148526805"/>
      <w:r>
        <w:rPr>
          <w:rFonts w:hint="eastAsia"/>
        </w:rPr>
        <w:t>一般</w:t>
      </w:r>
      <w:r>
        <w:t>规定</w:t>
      </w:r>
      <w:bookmarkEnd w:id="52"/>
    </w:p>
    <w:p>
      <w:pPr>
        <w:pStyle w:val="165"/>
      </w:pPr>
      <w:r>
        <w:rPr>
          <w:rFonts w:hint="eastAsia"/>
        </w:rPr>
        <w:t>供水管网设计应保证供水水质符合G</w:t>
      </w:r>
      <w:r>
        <w:t>B 5749</w:t>
      </w:r>
      <w:r>
        <w:rPr>
          <w:rFonts w:hint="eastAsia"/>
        </w:rPr>
        <w:t>的规定。</w:t>
      </w:r>
    </w:p>
    <w:p>
      <w:pPr>
        <w:pStyle w:val="165"/>
      </w:pPr>
      <w:r>
        <w:rPr>
          <w:rFonts w:hint="eastAsia"/>
        </w:rPr>
        <w:t>管网服务压力应根据当地实际情况，经技术经济分析论证后确定，管网最不利点最低供水压力不应低于0.14</w:t>
      </w:r>
      <w:r>
        <w:t xml:space="preserve"> </w:t>
      </w:r>
      <w:r>
        <w:rPr>
          <w:rFonts w:hint="eastAsia"/>
        </w:rPr>
        <w:t>MPa，管网压力合格率应大于98%。</w:t>
      </w:r>
    </w:p>
    <w:p>
      <w:pPr>
        <w:pStyle w:val="165"/>
      </w:pPr>
      <w:r>
        <w:rPr>
          <w:rFonts w:hint="eastAsia"/>
        </w:rPr>
        <w:t>在保证供水安全的前提下，供水管网设计应合理降低工程造价及运行成本、减少环境影响和便于运行优化及管理。</w:t>
      </w:r>
    </w:p>
    <w:p>
      <w:pPr>
        <w:pStyle w:val="165"/>
      </w:pPr>
      <w:r>
        <w:rPr>
          <w:rFonts w:hint="eastAsia"/>
        </w:rPr>
        <w:t>供水管网的设计使用年限宜按材质、产品更新周期和更换的便携性，经技术经济比较确定。</w:t>
      </w:r>
    </w:p>
    <w:p>
      <w:pPr>
        <w:pStyle w:val="165"/>
      </w:pPr>
      <w:r>
        <w:rPr>
          <w:rFonts w:hint="eastAsia"/>
        </w:rPr>
        <w:t>供水管网设计应符合G</w:t>
      </w:r>
      <w:r>
        <w:t>B 50013</w:t>
      </w:r>
      <w:r>
        <w:rPr>
          <w:rFonts w:hint="eastAsia"/>
        </w:rPr>
        <w:t>、G</w:t>
      </w:r>
      <w:r>
        <w:t>B 50268</w:t>
      </w:r>
      <w:r>
        <w:rPr>
          <w:rFonts w:hint="eastAsia"/>
        </w:rPr>
        <w:t>和G</w:t>
      </w:r>
      <w:r>
        <w:t>B 50141</w:t>
      </w:r>
      <w:r>
        <w:rPr>
          <w:rFonts w:hint="eastAsia"/>
        </w:rPr>
        <w:t>的有关规定。</w:t>
      </w:r>
    </w:p>
    <w:p>
      <w:pPr>
        <w:pStyle w:val="165"/>
      </w:pPr>
      <w:r>
        <w:rPr>
          <w:rFonts w:hint="eastAsia"/>
        </w:rPr>
        <w:t>供水管道与其他工程管线的水平净距与垂直净距应符合GB 50289的相关</w:t>
      </w:r>
      <w:r>
        <w:t>规定</w:t>
      </w:r>
      <w:r>
        <w:rPr>
          <w:rFonts w:hint="eastAsia"/>
        </w:rPr>
        <w:t>。</w:t>
      </w:r>
    </w:p>
    <w:p>
      <w:pPr>
        <w:pStyle w:val="165"/>
      </w:pPr>
      <w:r>
        <w:rPr>
          <w:rFonts w:hint="eastAsia"/>
        </w:rPr>
        <w:t>供水管网系统应根据城市规划和建设情况统一规划，分期实施。管道应按远期用水量规划设计。</w:t>
      </w:r>
    </w:p>
    <w:p>
      <w:pPr>
        <w:pStyle w:val="165"/>
      </w:pPr>
      <w:r>
        <w:rPr>
          <w:rFonts w:hint="eastAsia"/>
        </w:rPr>
        <w:t>供水管网设计应当委托持有相应资质证书的设计单位承担，并遵守国家有关技术标准和规范。禁止无证或者超越资质证书规定的经营范围承担供水管网的设计任务。</w:t>
      </w:r>
    </w:p>
    <w:p>
      <w:pPr>
        <w:pStyle w:val="105"/>
        <w:spacing w:before="156" w:after="156"/>
      </w:pPr>
      <w:bookmarkStart w:id="53" w:name="_Toc148526806"/>
      <w:r>
        <w:rPr>
          <w:rFonts w:hint="eastAsia"/>
        </w:rPr>
        <w:t>系统设计</w:t>
      </w:r>
      <w:bookmarkEnd w:id="53"/>
    </w:p>
    <w:p>
      <w:pPr>
        <w:pStyle w:val="165"/>
      </w:pPr>
      <w:r>
        <w:rPr>
          <w:rFonts w:hint="eastAsia"/>
        </w:rPr>
        <w:t>供水管的根数及管径应满足给水规模要求。宜沿现有或规划道路铺设，并应缩短线路长度，减少跨越障碍次数。</w:t>
      </w:r>
    </w:p>
    <w:p>
      <w:pPr>
        <w:pStyle w:val="165"/>
      </w:pPr>
      <w:r>
        <w:rPr>
          <w:rFonts w:hint="eastAsia"/>
        </w:rPr>
        <w:t>供水管网宜采用环状布置，并考虑区域间的互联互通。</w:t>
      </w:r>
    </w:p>
    <w:p>
      <w:pPr>
        <w:pStyle w:val="165"/>
      </w:pPr>
      <w:r>
        <w:rPr>
          <w:rFonts w:hint="eastAsia"/>
        </w:rPr>
        <w:t>道路红线宽度超过40 m的城市干道宜两侧布置市政给水管道。</w:t>
      </w:r>
    </w:p>
    <w:p>
      <w:pPr>
        <w:pStyle w:val="165"/>
      </w:pPr>
      <w:r>
        <w:rPr>
          <w:rFonts w:hint="eastAsia"/>
        </w:rPr>
        <w:t>市政给水管道宜敷设在人行道或非机动车道下。位置受限时，可布置在机动车道或绿化带下。</w:t>
      </w:r>
    </w:p>
    <w:p>
      <w:pPr>
        <w:pStyle w:val="165"/>
      </w:pPr>
      <w:r>
        <w:rPr>
          <w:rFonts w:hint="eastAsia"/>
        </w:rPr>
        <w:t>给水管道的覆土深度应根据冰冻情况、外部荷载、管材强度、抗浮要求等条件，结合当地埋管经验确定：给水管道覆土深度应取1.0～1.5</w:t>
      </w:r>
      <w:r>
        <w:t xml:space="preserve"> </w:t>
      </w:r>
      <w:r>
        <w:rPr>
          <w:rFonts w:hint="eastAsia"/>
        </w:rPr>
        <w:t>m，最小覆土深度人行道下应为0.6 m，车行道下宜为0.7 m。当受条件限制不能满足要求时，应采用结构加强管材或采用结构加强措施。</w:t>
      </w:r>
    </w:p>
    <w:p>
      <w:pPr>
        <w:pStyle w:val="165"/>
      </w:pPr>
      <w:r>
        <w:rPr>
          <w:rFonts w:hint="eastAsia"/>
        </w:rPr>
        <w:t>供水管网宜结合道路的新建或改造工程同步设计、同步施工。</w:t>
      </w:r>
    </w:p>
    <w:p>
      <w:pPr>
        <w:pStyle w:val="165"/>
      </w:pPr>
      <w:r>
        <w:rPr>
          <w:rFonts w:hint="eastAsia"/>
        </w:rPr>
        <w:t>当给水管道需要跨越河涌等复杂地形时，应根据现场情况，因地制宜，选择经济可行、便于维护管理的方案。给水管道在架空跨越河道、地势起伏的高位或≥DN400管道每1公里原则上应设置排气阀，排气阀宜选用复合式排气阀，具体可根据给水管道的直径和承担的排气管道距离而定（可参照《给水排水设计手册》），一般情况取DN100为宜。</w:t>
      </w:r>
    </w:p>
    <w:p>
      <w:pPr>
        <w:pStyle w:val="165"/>
      </w:pPr>
      <w:r>
        <w:rPr>
          <w:rFonts w:hint="eastAsia"/>
        </w:rPr>
        <w:t>当管径≥1000</w:t>
      </w:r>
      <w:r>
        <w:t xml:space="preserve"> </w:t>
      </w:r>
      <w:r>
        <w:rPr>
          <w:rFonts w:hint="eastAsia"/>
        </w:rPr>
        <w:t>mm时，设置管径不应小于300</w:t>
      </w:r>
      <w:r>
        <w:t xml:space="preserve"> </w:t>
      </w:r>
      <w:r>
        <w:rPr>
          <w:rFonts w:hint="eastAsia"/>
        </w:rPr>
        <w:t>mm的配水管。横穿市政道路的预留配水支管管径不宜小于200</w:t>
      </w:r>
      <w:r>
        <w:t xml:space="preserve"> </w:t>
      </w:r>
      <w:r>
        <w:rPr>
          <w:rFonts w:hint="eastAsia"/>
        </w:rPr>
        <w:t>mm，并在过路前设置阀门。横跨给水支管之间的间距不宜小于200</w:t>
      </w:r>
      <w:r>
        <w:t xml:space="preserve"> </w:t>
      </w:r>
      <w:r>
        <w:rPr>
          <w:rFonts w:hint="eastAsia"/>
        </w:rPr>
        <w:t>m。用户接驳管、消火栓接入管等必须从配水管接出。</w:t>
      </w:r>
    </w:p>
    <w:p>
      <w:pPr>
        <w:pStyle w:val="165"/>
      </w:pPr>
      <w:r>
        <w:rPr>
          <w:rFonts w:hint="eastAsia"/>
        </w:rPr>
        <w:t>市政配水管网应留有余地，宜按最高日最高时用水量乘1</w:t>
      </w:r>
      <w:r>
        <w:t>.2</w:t>
      </w:r>
      <w:r>
        <w:rPr>
          <w:rFonts w:hint="eastAsia"/>
        </w:rPr>
        <w:t>～</w:t>
      </w:r>
      <w:r>
        <w:t>1.4</w:t>
      </w:r>
      <w:r>
        <w:rPr>
          <w:rFonts w:hint="eastAsia"/>
        </w:rPr>
        <w:t>的弹性系数计算，并按消防时及事故时等工况进行校核。</w:t>
      </w:r>
    </w:p>
    <w:p>
      <w:pPr>
        <w:pStyle w:val="165"/>
      </w:pPr>
      <w:r>
        <w:rPr>
          <w:rFonts w:hint="eastAsia"/>
        </w:rPr>
        <w:t>供水管道口径宜选用常用标准口径规格，如DN15、DN20、DN25、DN50、DN80、DN100、DN150、DN200、DN300及DN400等。</w:t>
      </w:r>
    </w:p>
    <w:p>
      <w:pPr>
        <w:pStyle w:val="165"/>
      </w:pPr>
      <w:r>
        <w:rPr>
          <w:rFonts w:hint="eastAsia"/>
        </w:rPr>
        <w:t>管道、阀门及附件的压力等级均不应低于1.0</w:t>
      </w:r>
      <w:r>
        <w:t xml:space="preserve"> </w:t>
      </w:r>
      <w:r>
        <w:rPr>
          <w:rFonts w:hint="eastAsia"/>
        </w:rPr>
        <w:t>MPa，且不应低于管道设计压力。</w:t>
      </w:r>
    </w:p>
    <w:p>
      <w:pPr>
        <w:pStyle w:val="165"/>
      </w:pPr>
      <w:r>
        <w:rPr>
          <w:rFonts w:hint="eastAsia"/>
        </w:rPr>
        <w:t>供水管道材质的选择应根据管径、内压、外部荷载和管道敷设区的地形、地质、管材供应，按运行安全、耐久、减少漏损、施工和维护方便、经济合理以及清水管道防止二次污染的原则，对钢管、球墨铸铁管、化学建材管等经技术、经济、安全等综合分析确定。</w:t>
      </w:r>
    </w:p>
    <w:p>
      <w:pPr>
        <w:pStyle w:val="165"/>
      </w:pPr>
      <w:r>
        <w:rPr>
          <w:rFonts w:hint="eastAsia"/>
        </w:rPr>
        <w:t>供水管道应选用优质管材，减少对水质的影响。生活供水管道严禁采用镀锌钢管、灰口铸铁管等国家行业淘汰管材。</w:t>
      </w:r>
    </w:p>
    <w:p>
      <w:pPr>
        <w:pStyle w:val="165"/>
      </w:pPr>
      <w:r>
        <w:rPr>
          <w:rFonts w:hint="eastAsia"/>
        </w:rPr>
        <w:t>顶管管材宜选用钢管、球墨铸铁管，拖管管材宜选用钢管、PE管。</w:t>
      </w:r>
    </w:p>
    <w:p>
      <w:pPr>
        <w:pStyle w:val="165"/>
      </w:pPr>
      <w:r>
        <w:rPr>
          <w:rFonts w:hint="eastAsia"/>
        </w:rPr>
        <w:t>在下列位置应设置控制阀门：</w:t>
      </w:r>
    </w:p>
    <w:p>
      <w:pPr>
        <w:pStyle w:val="174"/>
      </w:pPr>
      <w:r>
        <w:rPr>
          <w:rFonts w:hint="eastAsia"/>
        </w:rPr>
        <w:t>环状管道分段处；</w:t>
      </w:r>
    </w:p>
    <w:p>
      <w:pPr>
        <w:pStyle w:val="174"/>
      </w:pPr>
      <w:r>
        <w:rPr>
          <w:rFonts w:hint="eastAsia"/>
        </w:rPr>
        <w:t>从干管上接出的支管起始端，市政过路支管应在穿越道路前；</w:t>
      </w:r>
    </w:p>
    <w:p>
      <w:pPr>
        <w:pStyle w:val="174"/>
      </w:pPr>
      <w:r>
        <w:rPr>
          <w:rFonts w:hint="eastAsia"/>
        </w:rPr>
        <w:t>供水主干管相连接的三通或四通，当管径DN≥400</w:t>
      </w:r>
      <w:r>
        <w:t xml:space="preserve"> </w:t>
      </w:r>
      <w:r>
        <w:rPr>
          <w:rFonts w:hint="eastAsia"/>
        </w:rPr>
        <w:t>mm时，每侧均应设置阀门；</w:t>
      </w:r>
    </w:p>
    <w:p>
      <w:pPr>
        <w:pStyle w:val="174"/>
      </w:pPr>
      <w:r>
        <w:rPr>
          <w:rFonts w:hint="eastAsia"/>
        </w:rPr>
        <w:t>自动排气阀、泄压阀、压力表等附件前端；</w:t>
      </w:r>
    </w:p>
    <w:p>
      <w:pPr>
        <w:pStyle w:val="174"/>
      </w:pPr>
      <w:r>
        <w:rPr>
          <w:rFonts w:hint="eastAsia"/>
        </w:rPr>
        <w:t>过河倒虹管两侧的岸上管（靠近河边段）必须设检修阀门；</w:t>
      </w:r>
    </w:p>
    <w:p>
      <w:pPr>
        <w:pStyle w:val="174"/>
      </w:pPr>
      <w:r>
        <w:rPr>
          <w:rFonts w:hint="eastAsia"/>
        </w:rPr>
        <w:t>长距离输配水管宜每1～2</w:t>
      </w:r>
      <w:r>
        <w:t xml:space="preserve"> </w:t>
      </w:r>
      <w:r>
        <w:rPr>
          <w:rFonts w:hint="eastAsia"/>
        </w:rPr>
        <w:t>km管段设置阀门。</w:t>
      </w:r>
    </w:p>
    <w:p>
      <w:pPr>
        <w:pStyle w:val="165"/>
      </w:pPr>
      <w:r>
        <w:rPr>
          <w:rFonts w:hint="eastAsia"/>
        </w:rPr>
        <w:t>在输配水干管两个控制阀间低点应设置排放管，其位置应设置在临近河道或易排水处。</w:t>
      </w:r>
    </w:p>
    <w:p>
      <w:pPr>
        <w:pStyle w:val="165"/>
      </w:pPr>
      <w:r>
        <w:rPr>
          <w:rFonts w:hint="eastAsia"/>
        </w:rPr>
        <w:t>在下列位置必须设置防倒流污染装置，同时应采取防止二次污染的措施：</w:t>
      </w:r>
    </w:p>
    <w:p>
      <w:pPr>
        <w:pStyle w:val="174"/>
        <w:numPr>
          <w:ilvl w:val="0"/>
          <w:numId w:val="33"/>
        </w:numPr>
      </w:pPr>
      <w:r>
        <w:rPr>
          <w:rFonts w:hint="eastAsia"/>
        </w:rPr>
        <w:t>市政给水管道向小区供水的引入管上；</w:t>
      </w:r>
    </w:p>
    <w:p>
      <w:pPr>
        <w:pStyle w:val="174"/>
      </w:pPr>
      <w:r>
        <w:rPr>
          <w:rFonts w:hint="eastAsia"/>
        </w:rPr>
        <w:t>从市政或小区给水管道上直接连接绿地等自动浇洒系统，当喷头为地下式或自动升降式时，在其管道起端；</w:t>
      </w:r>
    </w:p>
    <w:p>
      <w:pPr>
        <w:pStyle w:val="174"/>
      </w:pPr>
      <w:r>
        <w:rPr>
          <w:rFonts w:hint="eastAsia"/>
        </w:rPr>
        <w:t>当小区给水管道直接向小区游泳池等补水，且补（充）水管出口与溢流水位之间的垂直间隙小于出口管径的2.5倍时，在补（充）水管上；</w:t>
      </w:r>
    </w:p>
    <w:p>
      <w:pPr>
        <w:pStyle w:val="174"/>
      </w:pPr>
      <w:r>
        <w:rPr>
          <w:rFonts w:hint="eastAsia"/>
        </w:rPr>
        <w:t>从市政或小区给水管道上直接连接生产用水或消防用水（不含市政消防）等非饮用水管，在其管道起端。</w:t>
      </w:r>
    </w:p>
    <w:p>
      <w:pPr>
        <w:pStyle w:val="174"/>
      </w:pPr>
      <w:r>
        <w:rPr>
          <w:rFonts w:hint="eastAsia"/>
        </w:rPr>
        <w:t>国家或行业标准规定的其他需要设置防倒流装置的位置。</w:t>
      </w:r>
    </w:p>
    <w:p>
      <w:pPr>
        <w:pStyle w:val="165"/>
      </w:pPr>
      <w:r>
        <w:rPr>
          <w:rFonts w:hint="eastAsia"/>
        </w:rPr>
        <w:t>埋地给水管道应设置标识。埋设在车行道和人行道下设置贴地金属标示牌，埋设在绿化带下设置标识桩，一般直线长度每50米、各拐点、三通分支管应设置一个。</w:t>
      </w:r>
    </w:p>
    <w:p>
      <w:pPr>
        <w:pStyle w:val="105"/>
        <w:spacing w:before="156" w:after="156"/>
      </w:pPr>
      <w:bookmarkStart w:id="54" w:name="_Toc148526807"/>
      <w:r>
        <w:rPr>
          <w:rFonts w:hint="eastAsia"/>
        </w:rPr>
        <w:t>管网修复及更新改造</w:t>
      </w:r>
      <w:bookmarkEnd w:id="54"/>
    </w:p>
    <w:p>
      <w:pPr>
        <w:pStyle w:val="165"/>
      </w:pPr>
      <w:r>
        <w:rPr>
          <w:rFonts w:hint="eastAsia"/>
        </w:rPr>
        <w:t>供水管网中不能满足输水要求、爆管频率高、漏损严重、管网水质差等运行工况不良的管段，应有计划地进行修复和更新改造。</w:t>
      </w:r>
    </w:p>
    <w:p>
      <w:pPr>
        <w:pStyle w:val="165"/>
      </w:pPr>
      <w:r>
        <w:rPr>
          <w:rFonts w:hint="eastAsia"/>
        </w:rPr>
        <w:t>在实施管道修复和更新改造之前，应进行技术经济分析，选择切实可行的修复和更新改造方案。</w:t>
      </w:r>
    </w:p>
    <w:p>
      <w:pPr>
        <w:pStyle w:val="165"/>
      </w:pPr>
      <w:r>
        <w:rPr>
          <w:rFonts w:hint="eastAsia"/>
        </w:rPr>
        <w:t>新建及更新改造的管道宜进行管网模拟计算，优化方案，减少滞水管段，避免流向和流速发生变化时影响管网水质。</w:t>
      </w:r>
    </w:p>
    <w:p>
      <w:pPr>
        <w:pStyle w:val="165"/>
      </w:pPr>
      <w:r>
        <w:rPr>
          <w:rFonts w:hint="eastAsia"/>
        </w:rPr>
        <w:t>供水管网的年更新率不宜小于2%。应根据管网漏失评估、水质及供水安全保障等情况，制定管网更新改造的中长期规划和年度计划。</w:t>
      </w:r>
    </w:p>
    <w:p>
      <w:pPr>
        <w:pStyle w:val="104"/>
        <w:spacing w:before="312" w:after="312"/>
      </w:pPr>
      <w:bookmarkStart w:id="55" w:name="_Toc148526808"/>
      <w:r>
        <w:rPr>
          <w:rFonts w:hint="eastAsia"/>
        </w:rPr>
        <w:t>二次供水</w:t>
      </w:r>
      <w:r>
        <w:t>设计</w:t>
      </w:r>
      <w:bookmarkEnd w:id="55"/>
    </w:p>
    <w:p>
      <w:pPr>
        <w:pStyle w:val="105"/>
        <w:spacing w:before="156" w:after="156"/>
      </w:pPr>
      <w:bookmarkStart w:id="56" w:name="_Toc148526809"/>
      <w:r>
        <w:rPr>
          <w:rFonts w:hint="eastAsia"/>
        </w:rPr>
        <w:t>一般规定</w:t>
      </w:r>
      <w:bookmarkEnd w:id="56"/>
    </w:p>
    <w:p>
      <w:pPr>
        <w:pStyle w:val="165"/>
      </w:pPr>
      <w:r>
        <w:rPr>
          <w:rFonts w:hint="eastAsia"/>
        </w:rPr>
        <w:t>当用户对生活饮用水的水压、水量的要求超过市政管网供水能力时，必须建设二次供水设施。新建二次供水设施应与主体工程同时设计、同时施工及同时投入使用。</w:t>
      </w:r>
    </w:p>
    <w:p>
      <w:pPr>
        <w:pStyle w:val="165"/>
      </w:pPr>
      <w:r>
        <w:rPr>
          <w:rFonts w:hint="eastAsia"/>
        </w:rPr>
        <w:t>二次供水设施的建设与提标改造应满足“安全充足、节能环保、经济高效、智能管控”的要求。生活二次供水设施与消防二次供水设施应分开设置，单独计量。</w:t>
      </w:r>
    </w:p>
    <w:p>
      <w:pPr>
        <w:pStyle w:val="165"/>
      </w:pPr>
      <w:r>
        <w:rPr>
          <w:rFonts w:hint="eastAsia"/>
        </w:rPr>
        <w:t>新建、改（扩）建二次供水工程的设计方案、改（扩）建二次供水工程的施工方案及临时供水保障方案应书面征求供水企业意见，并达成一致方可实施。</w:t>
      </w:r>
    </w:p>
    <w:p>
      <w:pPr>
        <w:pStyle w:val="165"/>
      </w:pPr>
      <w:r>
        <w:rPr>
          <w:rFonts w:hint="eastAsia"/>
        </w:rPr>
        <w:t>二次供水系统的运行不得影响市政供水管网正常供水，禁止在市政供水管网或与其相连接的管道上直接装泵抽水。</w:t>
      </w:r>
    </w:p>
    <w:p>
      <w:pPr>
        <w:pStyle w:val="165"/>
      </w:pPr>
      <w:r>
        <w:rPr>
          <w:rFonts w:hint="eastAsia"/>
        </w:rPr>
        <w:t>二次供水设施应具有防水、防火、防潮、防暴晒、防雷击和可靠供电等运行安全保障措施，并采取有效的防污染措施。</w:t>
      </w:r>
    </w:p>
    <w:p>
      <w:pPr>
        <w:pStyle w:val="165"/>
      </w:pPr>
      <w:r>
        <w:rPr>
          <w:rFonts w:hint="eastAsia"/>
        </w:rPr>
        <w:t>二次供水设施中的涉水产品在运输、堆放和搬移过程中采取临时保护措施，避免封堵等设施脱落或损坏。</w:t>
      </w:r>
    </w:p>
    <w:p>
      <w:pPr>
        <w:pStyle w:val="165"/>
      </w:pPr>
      <w:r>
        <w:rPr>
          <w:rFonts w:hint="eastAsia"/>
        </w:rPr>
        <w:t>居住建筑二次供水设施应实现远程监控，并与供水企业的应用管理系统对接，兼顾城市公共供水调度系统。</w:t>
      </w:r>
    </w:p>
    <w:p>
      <w:pPr>
        <w:pStyle w:val="165"/>
      </w:pPr>
      <w:r>
        <w:rPr>
          <w:rFonts w:hint="eastAsia"/>
        </w:rPr>
        <w:t>新建、改建、扩建的建筑物对水压要求超过城市供水水压标准的，建设单位应当按照相关技术标准和规范配套建设二次供水设施。</w:t>
      </w:r>
    </w:p>
    <w:p>
      <w:pPr>
        <w:pStyle w:val="165"/>
      </w:pPr>
      <w:r>
        <w:rPr>
          <w:rFonts w:hint="eastAsia"/>
        </w:rPr>
        <w:t>居民用水二次供水设施应当独立设置，不得与消防等设施混用。消防二次供水设施执行国家、行业及地方现行标准、规范的有关规定。</w:t>
      </w:r>
    </w:p>
    <w:p>
      <w:pPr>
        <w:pStyle w:val="165"/>
      </w:pPr>
      <w:r>
        <w:rPr>
          <w:rFonts w:hint="eastAsia"/>
        </w:rPr>
        <w:t>二次供水设施应符合GB</w:t>
      </w:r>
      <w:r>
        <w:t xml:space="preserve"> </w:t>
      </w:r>
      <w:r>
        <w:rPr>
          <w:rFonts w:hint="eastAsia"/>
        </w:rPr>
        <w:t>17051和GB/T</w:t>
      </w:r>
      <w:r>
        <w:t xml:space="preserve"> </w:t>
      </w:r>
      <w:r>
        <w:rPr>
          <w:rFonts w:hint="eastAsia"/>
        </w:rPr>
        <w:t>17219的规定。</w:t>
      </w:r>
    </w:p>
    <w:p>
      <w:pPr>
        <w:pStyle w:val="105"/>
        <w:spacing w:before="156" w:after="156"/>
      </w:pPr>
      <w:r>
        <w:rPr>
          <w:rFonts w:hint="eastAsia"/>
        </w:rPr>
        <w:t xml:space="preserve"> </w:t>
      </w:r>
      <w:bookmarkStart w:id="57" w:name="_Toc148526810"/>
      <w:r>
        <w:rPr>
          <w:rFonts w:hint="eastAsia"/>
        </w:rPr>
        <w:t>提标改造</w:t>
      </w:r>
      <w:bookmarkEnd w:id="57"/>
    </w:p>
    <w:p>
      <w:pPr>
        <w:pStyle w:val="165"/>
      </w:pPr>
      <w:r>
        <w:rPr>
          <w:rFonts w:hint="eastAsia"/>
        </w:rPr>
        <w:t>现状二次供水设施不满足用水需求，或出现以下情况之一的，应进行提标改造：</w:t>
      </w:r>
    </w:p>
    <w:p>
      <w:pPr>
        <w:pStyle w:val="174"/>
        <w:numPr>
          <w:ilvl w:val="0"/>
          <w:numId w:val="34"/>
        </w:numPr>
      </w:pPr>
      <w:r>
        <w:rPr>
          <w:rFonts w:hint="eastAsia"/>
        </w:rPr>
        <w:t>生活供水系统与消防供水系统合用的；</w:t>
      </w:r>
    </w:p>
    <w:p>
      <w:pPr>
        <w:pStyle w:val="174"/>
      </w:pPr>
      <w:r>
        <w:rPr>
          <w:rFonts w:hint="eastAsia"/>
        </w:rPr>
        <w:t>现状二次供水形式采用管道泵直抽，或不满足叠压使用条件而采用了叠压供水方式的；</w:t>
      </w:r>
    </w:p>
    <w:p>
      <w:pPr>
        <w:pStyle w:val="174"/>
      </w:pPr>
      <w:r>
        <w:rPr>
          <w:rFonts w:hint="eastAsia"/>
        </w:rPr>
        <w:t>生活二次供水设施材质不能提供稳定的水质环境，容易带来水质风险的；</w:t>
      </w:r>
    </w:p>
    <w:p>
      <w:pPr>
        <w:pStyle w:val="174"/>
      </w:pPr>
      <w:r>
        <w:rPr>
          <w:rFonts w:hint="eastAsia"/>
        </w:rPr>
        <w:t>二次供水设施老旧，能耗高、故障率高，对居民生活用水造成较大影响的；</w:t>
      </w:r>
    </w:p>
    <w:p>
      <w:pPr>
        <w:pStyle w:val="174"/>
      </w:pPr>
      <w:r>
        <w:rPr>
          <w:rFonts w:hint="eastAsia"/>
        </w:rPr>
        <w:t>二次供水设施未实现远程智能监控管理的。</w:t>
      </w:r>
    </w:p>
    <w:p>
      <w:pPr>
        <w:pStyle w:val="165"/>
      </w:pPr>
      <w:r>
        <w:rPr>
          <w:rFonts w:hint="eastAsia"/>
        </w:rPr>
        <w:t>二次供水设施实施提标改造前，应对现状二次供水设施进行评估，包括设备设施的建设与改造时间、设备设施使用的材料标准、维修情况、泵房及水池内外环境状况等，评估意见作为工程设计依据之一。评估技术路线见附录A，评估记录见附录B。符合改造条件的二次供水设施，纳入提标改造工程，申请提交资料见附录C。</w:t>
      </w:r>
    </w:p>
    <w:p>
      <w:pPr>
        <w:pStyle w:val="165"/>
      </w:pPr>
      <w:r>
        <w:rPr>
          <w:rFonts w:hint="eastAsia"/>
        </w:rPr>
        <w:t>二次供水设施提标改造完成后，应及时组织现场验收，移交供水企业统一管理。</w:t>
      </w:r>
    </w:p>
    <w:p>
      <w:pPr>
        <w:pStyle w:val="105"/>
        <w:spacing w:before="156" w:after="156"/>
      </w:pPr>
      <w:bookmarkStart w:id="58" w:name="_Toc148526811"/>
      <w:r>
        <w:rPr>
          <w:rFonts w:hint="eastAsia"/>
        </w:rPr>
        <w:t>水量</w:t>
      </w:r>
      <w:r>
        <w:t>、</w:t>
      </w:r>
      <w:r>
        <w:rPr>
          <w:rFonts w:hint="eastAsia"/>
        </w:rPr>
        <w:t>水质和</w:t>
      </w:r>
      <w:r>
        <w:t>水压</w:t>
      </w:r>
      <w:bookmarkEnd w:id="58"/>
    </w:p>
    <w:p>
      <w:pPr>
        <w:pStyle w:val="165"/>
      </w:pPr>
      <w:r>
        <w:rPr>
          <w:rFonts w:hint="eastAsia"/>
        </w:rPr>
        <w:t>二次供水水量应根据小区及建筑使用性质、规模、用水范围、用水器具及设备用水量进行计算确定。用水定额及计算方法，应符合GB 50015、GB 50013和GB/T</w:t>
      </w:r>
      <w:r>
        <w:t xml:space="preserve"> </w:t>
      </w:r>
      <w:r>
        <w:rPr>
          <w:rFonts w:hint="eastAsia"/>
        </w:rPr>
        <w:t>50331的规定。</w:t>
      </w:r>
    </w:p>
    <w:p>
      <w:pPr>
        <w:pStyle w:val="165"/>
      </w:pPr>
      <w:r>
        <w:rPr>
          <w:rFonts w:hint="eastAsia"/>
        </w:rPr>
        <w:t>二次供水系统的设计用水量计算应包括管道漏失水量和未预见水量。</w:t>
      </w:r>
    </w:p>
    <w:p>
      <w:pPr>
        <w:pStyle w:val="165"/>
      </w:pPr>
      <w:r>
        <w:rPr>
          <w:rFonts w:hint="eastAsia"/>
        </w:rPr>
        <w:t>二次供水水质应符合GB 5749的规定。</w:t>
      </w:r>
    </w:p>
    <w:p>
      <w:pPr>
        <w:pStyle w:val="165"/>
      </w:pPr>
      <w:r>
        <w:rPr>
          <w:rFonts w:hint="eastAsia"/>
        </w:rPr>
        <w:t>二次供水系统的供水压力应根据最不利用水点的工作压力确定。</w:t>
      </w:r>
    </w:p>
    <w:p>
      <w:pPr>
        <w:pStyle w:val="105"/>
        <w:spacing w:before="156" w:after="156"/>
      </w:pPr>
      <w:bookmarkStart w:id="59" w:name="_Toc148526812"/>
      <w:r>
        <w:rPr>
          <w:rFonts w:hint="eastAsia"/>
        </w:rPr>
        <w:t>系统选择</w:t>
      </w:r>
      <w:bookmarkEnd w:id="59"/>
    </w:p>
    <w:p>
      <w:pPr>
        <w:pStyle w:val="165"/>
      </w:pPr>
      <w:r>
        <w:rPr>
          <w:rFonts w:hint="eastAsia"/>
        </w:rPr>
        <w:t>二次供水方式的选择应经技术经济比较后确定，并符合下列规定：</w:t>
      </w:r>
    </w:p>
    <w:p>
      <w:pPr>
        <w:pStyle w:val="174"/>
        <w:numPr>
          <w:ilvl w:val="0"/>
          <w:numId w:val="35"/>
        </w:numPr>
      </w:pPr>
      <w:r>
        <w:rPr>
          <w:rFonts w:hint="eastAsia"/>
        </w:rPr>
        <w:t>确保供水安全；</w:t>
      </w:r>
    </w:p>
    <w:p>
      <w:pPr>
        <w:pStyle w:val="174"/>
      </w:pPr>
      <w:r>
        <w:rPr>
          <w:rFonts w:hint="eastAsia"/>
        </w:rPr>
        <w:t>充分考虑市政供水管网管径、压力以及周边用户的供水现状等因素；</w:t>
      </w:r>
    </w:p>
    <w:p>
      <w:pPr>
        <w:pStyle w:val="174"/>
      </w:pPr>
      <w:r>
        <w:rPr>
          <w:rFonts w:hint="eastAsia"/>
        </w:rPr>
        <w:t>综合考虑建筑物规模、类别、高度、使用标准等因素。</w:t>
      </w:r>
    </w:p>
    <w:p>
      <w:pPr>
        <w:pStyle w:val="165"/>
      </w:pPr>
      <w:r>
        <w:rPr>
          <w:rFonts w:hint="eastAsia"/>
        </w:rPr>
        <w:t>二供水系统宜采用“低位水池（箱）和变频调速设备联合供水”的供水方式。在市政供水管网条件允许且不影响周边用户安全稳定供水的情况下，并征得供水企业审查同意后，可选用管网叠压供水方式。</w:t>
      </w:r>
    </w:p>
    <w:p>
      <w:pPr>
        <w:pStyle w:val="165"/>
      </w:pPr>
      <w:r>
        <w:rPr>
          <w:rFonts w:hint="eastAsia"/>
        </w:rPr>
        <w:t>下列情况下不得采用叠压供水方式：</w:t>
      </w:r>
    </w:p>
    <w:p>
      <w:pPr>
        <w:pStyle w:val="174"/>
        <w:numPr>
          <w:ilvl w:val="0"/>
          <w:numId w:val="36"/>
        </w:numPr>
      </w:pPr>
      <w:r>
        <w:rPr>
          <w:rFonts w:hint="eastAsia"/>
        </w:rPr>
        <w:t>市政供水管网管径小于300</w:t>
      </w:r>
      <w:r>
        <w:t xml:space="preserve"> </w:t>
      </w:r>
      <w:r>
        <w:rPr>
          <w:rFonts w:hint="eastAsia"/>
        </w:rPr>
        <w:t>mm；</w:t>
      </w:r>
    </w:p>
    <w:p>
      <w:pPr>
        <w:pStyle w:val="174"/>
      </w:pPr>
      <w:r>
        <w:rPr>
          <w:rFonts w:hint="eastAsia"/>
        </w:rPr>
        <w:t>用水高峰期市政供水管网压力小于0.28</w:t>
      </w:r>
      <w:r>
        <w:t xml:space="preserve"> </w:t>
      </w:r>
      <w:r>
        <w:rPr>
          <w:rFonts w:hint="eastAsia"/>
        </w:rPr>
        <w:t>MPa；</w:t>
      </w:r>
    </w:p>
    <w:p>
      <w:pPr>
        <w:pStyle w:val="174"/>
      </w:pPr>
      <w:r>
        <w:rPr>
          <w:rFonts w:hint="eastAsia"/>
        </w:rPr>
        <w:t>市政供水管网管径小于引入管管径的2倍；</w:t>
      </w:r>
    </w:p>
    <w:p>
      <w:pPr>
        <w:pStyle w:val="174"/>
      </w:pPr>
      <w:r>
        <w:rPr>
          <w:rFonts w:hint="eastAsia"/>
        </w:rPr>
        <w:t>启动或切换叠压设备供水时，引入管及市政供水管网压力瞬时变动值大于0.02</w:t>
      </w:r>
      <w:r>
        <w:t xml:space="preserve"> </w:t>
      </w:r>
      <w:r>
        <w:rPr>
          <w:rFonts w:hint="eastAsia"/>
        </w:rPr>
        <w:t>MPa；</w:t>
      </w:r>
    </w:p>
    <w:p>
      <w:pPr>
        <w:pStyle w:val="174"/>
      </w:pPr>
      <w:r>
        <w:rPr>
          <w:rFonts w:hint="eastAsia"/>
        </w:rPr>
        <w:t>造成市政供水管网的水压低于该地区规定的最低供水服务压力。</w:t>
      </w:r>
    </w:p>
    <w:p>
      <w:pPr>
        <w:pStyle w:val="174"/>
      </w:pPr>
      <w:r>
        <w:rPr>
          <w:rFonts w:hint="eastAsia"/>
        </w:rPr>
        <w:t>同一区域多用户同时使用叠压设备时，市政管网压力瞬时变动值大于0.02</w:t>
      </w:r>
      <w:r>
        <w:t xml:space="preserve"> </w:t>
      </w:r>
      <w:r>
        <w:rPr>
          <w:rFonts w:hint="eastAsia"/>
        </w:rPr>
        <w:t>MPa。</w:t>
      </w:r>
    </w:p>
    <w:p>
      <w:pPr>
        <w:pStyle w:val="165"/>
      </w:pPr>
      <w:r>
        <w:rPr>
          <w:rFonts w:hint="eastAsia"/>
        </w:rPr>
        <w:t>下列用户及区域不得采用叠压供水方式：</w:t>
      </w:r>
    </w:p>
    <w:p>
      <w:pPr>
        <w:pStyle w:val="174"/>
        <w:numPr>
          <w:ilvl w:val="0"/>
          <w:numId w:val="37"/>
        </w:numPr>
      </w:pPr>
      <w:r>
        <w:rPr>
          <w:rFonts w:hint="eastAsia"/>
        </w:rPr>
        <w:t>对有毒有害物质、药品药剂等危险化学物质进行制造、加工、贮存和使用的工厂、研究单位、医疗机构和仓库等；</w:t>
      </w:r>
    </w:p>
    <w:p>
      <w:pPr>
        <w:pStyle w:val="174"/>
      </w:pPr>
      <w:r>
        <w:rPr>
          <w:rFonts w:hint="eastAsia"/>
        </w:rPr>
        <w:t>供水保障率要求高、需要连续供水、不允许停水、瞬间用水量过大，且未自行设置断水保障措施的用户；</w:t>
      </w:r>
    </w:p>
    <w:p>
      <w:pPr>
        <w:pStyle w:val="174"/>
      </w:pPr>
      <w:r>
        <w:rPr>
          <w:rFonts w:hint="eastAsia"/>
        </w:rPr>
        <w:t>在保障正常供水压力情况下，市政供水管网供水容量无富余的区域；</w:t>
      </w:r>
    </w:p>
    <w:p>
      <w:pPr>
        <w:pStyle w:val="174"/>
      </w:pPr>
      <w:r>
        <w:rPr>
          <w:rFonts w:hint="eastAsia"/>
        </w:rPr>
        <w:t>在保障正常供水压力条件下，未来发展不适合采用叠压供水方式的其他用户和区域。</w:t>
      </w:r>
    </w:p>
    <w:p>
      <w:pPr>
        <w:pStyle w:val="165"/>
      </w:pPr>
      <w:r>
        <w:rPr>
          <w:rFonts w:hint="eastAsia"/>
        </w:rPr>
        <w:t>二次供水系统竖向分区应符合GB 50015的规定。</w:t>
      </w:r>
    </w:p>
    <w:p>
      <w:pPr>
        <w:pStyle w:val="165"/>
      </w:pPr>
      <w:r>
        <w:rPr>
          <w:rFonts w:hint="eastAsia"/>
        </w:rPr>
        <w:t>现状生活与消防合用的二次供水系统，具备条件时应新增独立的生活二次供水系统，不具备条件时应对生活和消防二次供水系统进行分离改造。</w:t>
      </w:r>
    </w:p>
    <w:p>
      <w:pPr>
        <w:pStyle w:val="165"/>
      </w:pPr>
      <w:r>
        <w:rPr>
          <w:rFonts w:hint="eastAsia"/>
        </w:rPr>
        <w:t>二次供水设施提标改造，供水方式的选择应符合下列规定：</w:t>
      </w:r>
    </w:p>
    <w:p>
      <w:pPr>
        <w:pStyle w:val="174"/>
        <w:numPr>
          <w:ilvl w:val="0"/>
          <w:numId w:val="38"/>
        </w:numPr>
      </w:pPr>
      <w:r>
        <w:rPr>
          <w:rFonts w:hint="eastAsia"/>
        </w:rPr>
        <w:t>应依据居民小区实际水量和水压，综合考虑现状水池和主要设备等的运行状况，确定合理的供水方式；</w:t>
      </w:r>
    </w:p>
    <w:p>
      <w:pPr>
        <w:pStyle w:val="174"/>
      </w:pPr>
      <w:r>
        <w:rPr>
          <w:rFonts w:hint="eastAsia"/>
        </w:rPr>
        <w:t>应根据实际情况制订专项改造方案。周边二次供水设施具备关闭及整合条件的，应根据现场实际情况，在进行技术和经济比较后，选择合理的优化整合方案；</w:t>
      </w:r>
    </w:p>
    <w:p>
      <w:pPr>
        <w:pStyle w:val="174"/>
      </w:pPr>
      <w:r>
        <w:rPr>
          <w:rFonts w:hint="eastAsia"/>
        </w:rPr>
        <w:t>取消屋顶水箱和工频水泵。工频水泵改为变频水泵，并按照本文件</w:t>
      </w:r>
      <w:r>
        <w:t>5.7</w:t>
      </w:r>
      <w:r>
        <w:rPr>
          <w:rFonts w:hint="eastAsia"/>
        </w:rPr>
        <w:t>相关规定执行。屋顶水箱因系统设置等原因不能取消的，须按照本文件</w:t>
      </w:r>
      <w:r>
        <w:t>5.9</w:t>
      </w:r>
      <w:r>
        <w:rPr>
          <w:rFonts w:hint="eastAsia"/>
        </w:rPr>
        <w:t>相关规定进行整改。</w:t>
      </w:r>
    </w:p>
    <w:p>
      <w:pPr>
        <w:pStyle w:val="165"/>
      </w:pPr>
      <w:r>
        <w:rPr>
          <w:rFonts w:hint="eastAsia"/>
        </w:rPr>
        <w:t>同时符合下列条件的，可保留并优化“低位水池（箱）、工频供水设备与屋顶水箱联合供水”的方式：</w:t>
      </w:r>
    </w:p>
    <w:p>
      <w:pPr>
        <w:pStyle w:val="174"/>
        <w:numPr>
          <w:ilvl w:val="0"/>
          <w:numId w:val="39"/>
        </w:numPr>
      </w:pPr>
      <w:r>
        <w:rPr>
          <w:rFonts w:hint="eastAsia"/>
        </w:rPr>
        <w:t>供水保障率要求高的；</w:t>
      </w:r>
    </w:p>
    <w:p>
      <w:pPr>
        <w:pStyle w:val="174"/>
      </w:pPr>
      <w:r>
        <w:rPr>
          <w:rFonts w:hint="eastAsia"/>
        </w:rPr>
        <w:t>经专业评估，原“低位水池（箱）、工频供水设备与屋顶水箱联合供水”方式运行安全稳定的。</w:t>
      </w:r>
    </w:p>
    <w:p>
      <w:pPr>
        <w:pStyle w:val="105"/>
        <w:spacing w:before="156" w:after="156"/>
      </w:pPr>
      <w:bookmarkStart w:id="60" w:name="_Toc148526813"/>
      <w:r>
        <w:rPr>
          <w:rFonts w:hint="eastAsia"/>
        </w:rPr>
        <w:t>系统设计</w:t>
      </w:r>
      <w:bookmarkEnd w:id="60"/>
    </w:p>
    <w:p>
      <w:pPr>
        <w:pStyle w:val="165"/>
      </w:pPr>
      <w:r>
        <w:rPr>
          <w:rFonts w:hint="eastAsia"/>
        </w:rPr>
        <w:t>二次供水的设计，应与市政供水管网的供水能力以及用户的用水需求相匹配。</w:t>
      </w:r>
    </w:p>
    <w:p>
      <w:pPr>
        <w:pStyle w:val="165"/>
      </w:pPr>
      <w:r>
        <w:rPr>
          <w:rFonts w:hint="eastAsia"/>
        </w:rPr>
        <w:t>生活供水系统必须与消防供水、工业供水、建筑中水、海水冲厕或再生水等系统分开设置，并单独计量。</w:t>
      </w:r>
    </w:p>
    <w:p>
      <w:pPr>
        <w:pStyle w:val="165"/>
      </w:pPr>
      <w:r>
        <w:rPr>
          <w:rFonts w:hint="eastAsia"/>
        </w:rPr>
        <w:t>二次供水工程严禁与其他供水系统和自备水源等管网直接连接。其他临时用水确需由二次供水工程提供的，应采取防污染措施，按照GB</w:t>
      </w:r>
      <w:r>
        <w:t xml:space="preserve"> </w:t>
      </w:r>
      <w:r>
        <w:rPr>
          <w:rFonts w:hint="eastAsia"/>
        </w:rPr>
        <w:t>50015的规定执行。</w:t>
      </w:r>
    </w:p>
    <w:p>
      <w:pPr>
        <w:pStyle w:val="165"/>
      </w:pPr>
      <w:r>
        <w:rPr>
          <w:rFonts w:hint="eastAsia"/>
        </w:rPr>
        <w:t>二次供水设施的建设和提标改造应符合临时供水安全、环境保护、施工安装、操作管理和维修检测等要求。</w:t>
      </w:r>
    </w:p>
    <w:p>
      <w:pPr>
        <w:pStyle w:val="165"/>
      </w:pPr>
      <w:r>
        <w:rPr>
          <w:rFonts w:hint="eastAsia"/>
        </w:rPr>
        <w:t>二次供水应进行优化设计，宜采用成套设备。在泵房用地等条件许可的情况下，提标改造可采取“关、停、并、转”等优化措施，提升泵房整体运行效率。</w:t>
      </w:r>
    </w:p>
    <w:p>
      <w:pPr>
        <w:pStyle w:val="165"/>
      </w:pPr>
      <w:r>
        <w:rPr>
          <w:rFonts w:hint="eastAsia"/>
        </w:rPr>
        <w:t>二次供水设计，应符合下列规定：</w:t>
      </w:r>
    </w:p>
    <w:p>
      <w:pPr>
        <w:pStyle w:val="174"/>
        <w:numPr>
          <w:ilvl w:val="0"/>
          <w:numId w:val="40"/>
        </w:numPr>
      </w:pPr>
      <w:r>
        <w:rPr>
          <w:rFonts w:hint="eastAsia"/>
        </w:rPr>
        <w:t>满足供水水质及运行安全的需要；</w:t>
      </w:r>
    </w:p>
    <w:p>
      <w:pPr>
        <w:pStyle w:val="174"/>
      </w:pPr>
      <w:r>
        <w:rPr>
          <w:rFonts w:hint="eastAsia"/>
        </w:rPr>
        <w:t>选择合理的供水方式；</w:t>
      </w:r>
    </w:p>
    <w:p>
      <w:pPr>
        <w:pStyle w:val="174"/>
      </w:pPr>
      <w:r>
        <w:rPr>
          <w:rFonts w:hint="eastAsia"/>
        </w:rPr>
        <w:t>系统应运行稳定、节能高效、低噪环保；</w:t>
      </w:r>
    </w:p>
    <w:p>
      <w:pPr>
        <w:pStyle w:val="174"/>
      </w:pPr>
      <w:r>
        <w:rPr>
          <w:rFonts w:hint="eastAsia"/>
        </w:rPr>
        <w:t>设备型号及品牌、主要设施及配件、电气参数及接口需统一标准，具有可更换性和可维护性；</w:t>
      </w:r>
    </w:p>
    <w:p>
      <w:pPr>
        <w:pStyle w:val="174"/>
      </w:pPr>
      <w:r>
        <w:rPr>
          <w:rFonts w:hint="eastAsia"/>
        </w:rPr>
        <w:t>实现智能化控制与管理。</w:t>
      </w:r>
    </w:p>
    <w:p>
      <w:pPr>
        <w:pStyle w:val="165"/>
      </w:pPr>
      <w:r>
        <w:rPr>
          <w:rFonts w:hint="eastAsia"/>
        </w:rPr>
        <w:t>二次供水设施中的涉水材料及设备，应符合GB/T 17219的规定，并应获得涉及饮用水卫生安全产品卫生许可批件。</w:t>
      </w:r>
    </w:p>
    <w:p>
      <w:pPr>
        <w:pStyle w:val="165"/>
      </w:pPr>
      <w:r>
        <w:rPr>
          <w:rFonts w:hint="eastAsia"/>
        </w:rPr>
        <w:t>二次供水系统应充分利用城镇供水管网压力，并应根据城镇供水管网条件，综合考虑供水范围、建筑高度、使用标准和建筑物的分布等因素，经技术经济比较后合理选择二次供水系统。</w:t>
      </w:r>
    </w:p>
    <w:p>
      <w:pPr>
        <w:pStyle w:val="165"/>
      </w:pPr>
      <w:r>
        <w:rPr>
          <w:rFonts w:hint="eastAsia"/>
        </w:rPr>
        <w:t>二次供水系统的竖向分区应符合GB</w:t>
      </w:r>
      <w:r>
        <w:t xml:space="preserve"> </w:t>
      </w:r>
      <w:r>
        <w:rPr>
          <w:rFonts w:hint="eastAsia"/>
        </w:rPr>
        <w:t>50015的规定。</w:t>
      </w:r>
    </w:p>
    <w:p>
      <w:pPr>
        <w:pStyle w:val="165"/>
      </w:pPr>
      <w:r>
        <w:rPr>
          <w:rFonts w:hint="eastAsia"/>
        </w:rPr>
        <w:t>高层建筑生活给水系统竖向分区应根据建筑物用途、层数、使用要求、材料设备性能、维护管理、节约供水、能耗等因素综合确定，宜满足以下要求：</w:t>
      </w:r>
    </w:p>
    <w:p>
      <w:pPr>
        <w:pStyle w:val="174"/>
        <w:numPr>
          <w:ilvl w:val="0"/>
          <w:numId w:val="41"/>
        </w:numPr>
      </w:pPr>
      <w:r>
        <w:rPr>
          <w:rFonts w:hint="eastAsia"/>
        </w:rPr>
        <w:t>居住建筑入户管给水压力不应大于0.35</w:t>
      </w:r>
      <w:r>
        <w:t xml:space="preserve"> </w:t>
      </w:r>
      <w:r>
        <w:rPr>
          <w:rFonts w:hint="eastAsia"/>
        </w:rPr>
        <w:t>Mpa；</w:t>
      </w:r>
    </w:p>
    <w:p>
      <w:pPr>
        <w:pStyle w:val="174"/>
      </w:pPr>
      <w:r>
        <w:rPr>
          <w:rFonts w:hint="eastAsia"/>
        </w:rPr>
        <w:t>静水压大于0.35</w:t>
      </w:r>
      <w:r>
        <w:t xml:space="preserve"> </w:t>
      </w:r>
      <w:r>
        <w:rPr>
          <w:rFonts w:hint="eastAsia"/>
        </w:rPr>
        <w:t>Mpa的入户管（或配水横管），加设减压或调压设施；</w:t>
      </w:r>
    </w:p>
    <w:p>
      <w:pPr>
        <w:pStyle w:val="174"/>
      </w:pPr>
      <w:r>
        <w:rPr>
          <w:rFonts w:hint="eastAsia"/>
        </w:rPr>
        <w:t>各分区最低卫生器具配水点处的静水压力不宜大于0.45</w:t>
      </w:r>
      <w:r>
        <w:t xml:space="preserve"> </w:t>
      </w:r>
      <w:r>
        <w:rPr>
          <w:rFonts w:hint="eastAsia"/>
        </w:rPr>
        <w:t>MPa；</w:t>
      </w:r>
    </w:p>
    <w:p>
      <w:pPr>
        <w:pStyle w:val="174"/>
      </w:pPr>
      <w:r>
        <w:rPr>
          <w:rFonts w:hint="eastAsia"/>
        </w:rPr>
        <w:t>建筑高度不超过100</w:t>
      </w:r>
      <w:r>
        <w:t xml:space="preserve"> </w:t>
      </w:r>
      <w:r>
        <w:rPr>
          <w:rFonts w:hint="eastAsia"/>
        </w:rPr>
        <w:t>m的建筑生活给水系统，宜采用垂直分区并联供水或分区减压的供水方式；建筑高度超过100</w:t>
      </w:r>
      <w:r>
        <w:t xml:space="preserve"> </w:t>
      </w:r>
      <w:r>
        <w:rPr>
          <w:rFonts w:hint="eastAsia"/>
        </w:rPr>
        <w:t>m的建筑，宜采用垂直串联供水方式。</w:t>
      </w:r>
    </w:p>
    <w:p>
      <w:pPr>
        <w:pStyle w:val="165"/>
      </w:pPr>
      <w:r>
        <w:rPr>
          <w:rFonts w:hint="eastAsia"/>
        </w:rPr>
        <w:t>与城镇供水管网直接联接的供水设备引入管上应设低阻力倒流防止器，倒流防止器的设置应符合GB</w:t>
      </w:r>
      <w:r>
        <w:t xml:space="preserve"> </w:t>
      </w:r>
      <w:r>
        <w:rPr>
          <w:rFonts w:hint="eastAsia"/>
        </w:rPr>
        <w:t>50015的规定，宜选用低阻力倒流防止器。倒流防止器的排水口不得直接接至排水管，应采用间接排水。</w:t>
      </w:r>
    </w:p>
    <w:p>
      <w:pPr>
        <w:pStyle w:val="165"/>
      </w:pPr>
      <w:r>
        <w:rPr>
          <w:rFonts w:hint="eastAsia"/>
        </w:rPr>
        <w:t>在二次供水工程中宜设置水质在线监测，水箱应设置消毒设施。</w:t>
      </w:r>
    </w:p>
    <w:p>
      <w:pPr>
        <w:pStyle w:val="165"/>
      </w:pPr>
      <w:r>
        <w:rPr>
          <w:rFonts w:hint="eastAsia"/>
        </w:rPr>
        <w:t>二次供水工程的设计、施工应由具有相应资质的单位承担。</w:t>
      </w:r>
    </w:p>
    <w:p>
      <w:pPr>
        <w:pStyle w:val="165"/>
      </w:pPr>
      <w:r>
        <w:rPr>
          <w:rFonts w:hint="eastAsia"/>
        </w:rPr>
        <w:t>二次供水设施应当有建筑围护结构，有污染防治、噪音治理和运行安全保障措施，符合施工安装、操作管理、维修检测等具体要求。</w:t>
      </w:r>
    </w:p>
    <w:p>
      <w:pPr>
        <w:pStyle w:val="165"/>
      </w:pPr>
      <w:r>
        <w:rPr>
          <w:rFonts w:hint="eastAsia"/>
        </w:rPr>
        <w:t>二次供水设施计量到户，应安装智能远传水表；泵房进水应安装在线计量装置，出水宜安装在线计量装置。</w:t>
      </w:r>
    </w:p>
    <w:p>
      <w:pPr>
        <w:pStyle w:val="165"/>
      </w:pPr>
      <w:r>
        <w:rPr>
          <w:rFonts w:hint="eastAsia"/>
        </w:rPr>
        <w:t>二次供水系统改建的设计须考虑原有构（建）筑物的荷载及整体安全性。</w:t>
      </w:r>
    </w:p>
    <w:p>
      <w:pPr>
        <w:pStyle w:val="165"/>
      </w:pPr>
      <w:r>
        <w:rPr>
          <w:rFonts w:hint="eastAsia"/>
        </w:rPr>
        <w:t>二次供水加压设备的安装设计、施工、使用和管理应符合CJJ 140的规定。二次供水加压设备的质量及各项技术指标、组件选材制造工艺应符合GB/T 24603、GB/T 26003的相关要求。</w:t>
      </w:r>
    </w:p>
    <w:p>
      <w:pPr>
        <w:pStyle w:val="165"/>
      </w:pPr>
      <w:r>
        <w:rPr>
          <w:rFonts w:hint="eastAsia"/>
        </w:rPr>
        <w:t>当使用二次供水的居住小区规模在7000人以上时，小区室外二次供水主干管网宜布置成环状，与次供水管网连接的加压泵出水管不宜少于两条，环状管网应设置阀门分段。</w:t>
      </w:r>
    </w:p>
    <w:p>
      <w:pPr>
        <w:pStyle w:val="165"/>
      </w:pPr>
      <w:r>
        <w:rPr>
          <w:rFonts w:hint="eastAsia"/>
        </w:rPr>
        <w:t>单体建筑二次供水管道宜布置成枝状管网，单向供水。</w:t>
      </w:r>
    </w:p>
    <w:p>
      <w:pPr>
        <w:pStyle w:val="165"/>
      </w:pPr>
      <w:r>
        <w:rPr>
          <w:rFonts w:hint="eastAsia"/>
        </w:rPr>
        <w:t>二次供水管道设计应符合下列要求:</w:t>
      </w:r>
    </w:p>
    <w:p>
      <w:pPr>
        <w:pStyle w:val="132"/>
      </w:pPr>
      <w:r>
        <w:rPr>
          <w:rFonts w:hint="eastAsia"/>
        </w:rPr>
        <w:t>严禁与消防管道、空调补水等非生活饮用水管道连通；</w:t>
      </w:r>
    </w:p>
    <w:p>
      <w:pPr>
        <w:pStyle w:val="132"/>
      </w:pPr>
      <w:r>
        <w:rPr>
          <w:rFonts w:hint="eastAsia"/>
        </w:rPr>
        <w:t>严禁与自建供水设施连接；</w:t>
      </w:r>
    </w:p>
    <w:p>
      <w:pPr>
        <w:pStyle w:val="132"/>
      </w:pPr>
      <w:r>
        <w:rPr>
          <w:rFonts w:hint="eastAsia"/>
        </w:rPr>
        <w:t>严禁穿过毒物污染区；</w:t>
      </w:r>
    </w:p>
    <w:p>
      <w:pPr>
        <w:pStyle w:val="132"/>
      </w:pPr>
      <w:r>
        <w:rPr>
          <w:rFonts w:hint="eastAsia"/>
        </w:rPr>
        <w:t>当通过腐蚀地段的管道应采取安全保护措施；</w:t>
      </w:r>
    </w:p>
    <w:p>
      <w:pPr>
        <w:pStyle w:val="132"/>
      </w:pPr>
      <w:r>
        <w:rPr>
          <w:rFonts w:hint="eastAsia"/>
        </w:rPr>
        <w:t>不应穿越市政道路；</w:t>
      </w:r>
    </w:p>
    <w:p>
      <w:pPr>
        <w:pStyle w:val="132"/>
      </w:pPr>
      <w:r>
        <w:rPr>
          <w:rFonts w:hint="eastAsia"/>
        </w:rPr>
        <w:t>水泵出水管严禁与市政供水管网连接，不得影响城镇供水管网正常供水；</w:t>
      </w:r>
    </w:p>
    <w:p>
      <w:pPr>
        <w:pStyle w:val="132"/>
      </w:pPr>
      <w:r>
        <w:rPr>
          <w:rFonts w:hint="eastAsia"/>
        </w:rPr>
        <w:t>水泵出水管严禁与直供供水管网连接。</w:t>
      </w:r>
    </w:p>
    <w:p>
      <w:pPr>
        <w:pStyle w:val="165"/>
      </w:pPr>
      <w:r>
        <w:rPr>
          <w:rFonts w:hint="eastAsia"/>
        </w:rPr>
        <w:t>二次供水管道的布置，应符合下列要求:</w:t>
      </w:r>
    </w:p>
    <w:p>
      <w:pPr>
        <w:pStyle w:val="132"/>
      </w:pPr>
      <w:r>
        <w:rPr>
          <w:rFonts w:hint="eastAsia"/>
        </w:rPr>
        <w:t>不得直接敷设在建筑物结构层内；</w:t>
      </w:r>
    </w:p>
    <w:p>
      <w:pPr>
        <w:pStyle w:val="132"/>
      </w:pPr>
      <w:r>
        <w:rPr>
          <w:rFonts w:hint="eastAsia"/>
        </w:rPr>
        <w:t>设置的生活饮用水管道不得受到污染，应方便安装与维修，并且不得影响结构的安全和建筑物的使用；</w:t>
      </w:r>
    </w:p>
    <w:p>
      <w:pPr>
        <w:pStyle w:val="132"/>
      </w:pPr>
      <w:r>
        <w:rPr>
          <w:rFonts w:hint="eastAsia"/>
        </w:rPr>
        <w:t>在室外明设的给水管道，应避免受阳光直接照射；</w:t>
      </w:r>
    </w:p>
    <w:p>
      <w:pPr>
        <w:pStyle w:val="132"/>
      </w:pPr>
      <w:r>
        <w:rPr>
          <w:rFonts w:hint="eastAsia"/>
        </w:rPr>
        <w:t>干管和立管应敷设在吊顶、管井、管隆内，支管可敷设在吊顶、楼（地）面的垫层内或沿墙敷设在管槽内；</w:t>
      </w:r>
    </w:p>
    <w:p>
      <w:pPr>
        <w:pStyle w:val="132"/>
      </w:pPr>
      <w:r>
        <w:rPr>
          <w:rFonts w:hint="eastAsia"/>
        </w:rPr>
        <w:t>敷设在垫层或墙体管槽内的给水支管的外径不宜大于25mm；</w:t>
      </w:r>
    </w:p>
    <w:p>
      <w:pPr>
        <w:pStyle w:val="132"/>
      </w:pPr>
      <w:r>
        <w:rPr>
          <w:rFonts w:hint="eastAsia"/>
        </w:rPr>
        <w:t>敷设在垫层或培体管槽内的给水管管材宜采用塑料、金属与塑料复合管材或耐腐蚀的金属管材；</w:t>
      </w:r>
    </w:p>
    <w:p>
      <w:pPr>
        <w:pStyle w:val="132"/>
      </w:pPr>
      <w:r>
        <w:rPr>
          <w:rFonts w:hint="eastAsia"/>
        </w:rPr>
        <w:t>敷设在垫层或墙体管槽内的管材，不得采用可拆卸的连接方式。柔性管材宜采用分水器向各卫生器具配水，中途不得有连接配件，两端接口应明露。</w:t>
      </w:r>
    </w:p>
    <w:p>
      <w:pPr>
        <w:pStyle w:val="165"/>
      </w:pPr>
      <w:r>
        <w:rPr>
          <w:rFonts w:hint="eastAsia"/>
        </w:rPr>
        <w:t>住宅给水系统室外管网宜设置泄水管，泄水管应采取间接排水的方式。</w:t>
      </w:r>
    </w:p>
    <w:p>
      <w:pPr>
        <w:pStyle w:val="165"/>
      </w:pPr>
      <w:r>
        <w:rPr>
          <w:rFonts w:hint="eastAsia"/>
        </w:rPr>
        <w:t>室外二次供水管道的布置不得污染生活用水，当达不到要求时，应采取相应的保护措施，并应符合GB 50013的规定。</w:t>
      </w:r>
    </w:p>
    <w:p>
      <w:pPr>
        <w:pStyle w:val="165"/>
      </w:pPr>
      <w:r>
        <w:rPr>
          <w:rFonts w:hint="eastAsia"/>
        </w:rPr>
        <w:t>二次供水管道的伸缩补偿装置应按GB 50015执行。</w:t>
      </w:r>
    </w:p>
    <w:p>
      <w:pPr>
        <w:pStyle w:val="105"/>
        <w:spacing w:before="156" w:after="156"/>
      </w:pPr>
      <w:bookmarkStart w:id="61" w:name="_Toc148526814"/>
      <w:r>
        <w:rPr>
          <w:rFonts w:hint="eastAsia"/>
        </w:rPr>
        <w:t>泵房</w:t>
      </w:r>
      <w:bookmarkEnd w:id="61"/>
    </w:p>
    <w:p>
      <w:pPr>
        <w:pStyle w:val="165"/>
      </w:pPr>
      <w:r>
        <w:rPr>
          <w:rFonts w:hint="eastAsia"/>
        </w:rPr>
        <w:t>泵房的位置应根据城镇供水管网条件，小区的环境和建筑的布置、类别、高度、使用标准等因素综合确定，每个泵房的服务半径不宜大于500</w:t>
      </w:r>
      <w:r>
        <w:t xml:space="preserve"> </w:t>
      </w:r>
      <w:r>
        <w:rPr>
          <w:rFonts w:hint="eastAsia"/>
        </w:rPr>
        <w:t>m，并宜设于用水负荷中心，且不应穿越市政道路。</w:t>
      </w:r>
    </w:p>
    <w:p>
      <w:pPr>
        <w:pStyle w:val="165"/>
      </w:pPr>
      <w:r>
        <w:rPr>
          <w:rFonts w:hint="eastAsia"/>
        </w:rPr>
        <w:t>泵房设置应符合GB 50015的规定，还应符合下列规定：</w:t>
      </w:r>
    </w:p>
    <w:p>
      <w:pPr>
        <w:pStyle w:val="174"/>
        <w:numPr>
          <w:ilvl w:val="0"/>
          <w:numId w:val="42"/>
        </w:numPr>
      </w:pPr>
      <w:r>
        <w:rPr>
          <w:rFonts w:hint="eastAsia"/>
        </w:rPr>
        <w:t>不应毗邻起居室或卧室；</w:t>
      </w:r>
    </w:p>
    <w:p>
      <w:pPr>
        <w:pStyle w:val="174"/>
      </w:pPr>
      <w:r>
        <w:rPr>
          <w:rFonts w:hint="eastAsia"/>
        </w:rPr>
        <w:t>宜与居住建筑主体建筑结构分开设置；</w:t>
      </w:r>
    </w:p>
    <w:p>
      <w:pPr>
        <w:pStyle w:val="174"/>
      </w:pPr>
      <w:r>
        <w:rPr>
          <w:rFonts w:hint="eastAsia"/>
        </w:rPr>
        <w:t>当居住建筑分期建设时，泵房宜按小区终期规模一次性预留空间，设备可分期安装或更换；</w:t>
      </w:r>
    </w:p>
    <w:p>
      <w:pPr>
        <w:pStyle w:val="174"/>
      </w:pPr>
      <w:r>
        <w:rPr>
          <w:rFonts w:hint="eastAsia"/>
        </w:rPr>
        <w:t>泵房及水池（箱）30</w:t>
      </w:r>
      <w:r>
        <w:t xml:space="preserve"> </w:t>
      </w:r>
      <w:r>
        <w:rPr>
          <w:rFonts w:hint="eastAsia"/>
        </w:rPr>
        <w:t>m以内不得有污染源。当达不到此要求时，应采取防护措施；</w:t>
      </w:r>
    </w:p>
    <w:p>
      <w:pPr>
        <w:pStyle w:val="174"/>
      </w:pPr>
      <w:r>
        <w:rPr>
          <w:rFonts w:hint="eastAsia"/>
        </w:rPr>
        <w:t>新建泵房应设置在专用的房间内，生活泵房应与消防泵房、其他设备用房分开独立设置，泵房出入口应从公共通道直接进入。改扩建生活二次供水设施宜与消防设施用房分开设置，不能分开的，宜采用物理隔断措施。</w:t>
      </w:r>
    </w:p>
    <w:p>
      <w:pPr>
        <w:pStyle w:val="174"/>
      </w:pPr>
      <w:r>
        <w:rPr>
          <w:rFonts w:hint="eastAsia"/>
        </w:rPr>
        <w:t>泵房不得设置在居住用房的上层、下层和毗邻的房间内，不得影响居住环境；</w:t>
      </w:r>
    </w:p>
    <w:p>
      <w:pPr>
        <w:pStyle w:val="174"/>
      </w:pPr>
      <w:r>
        <w:rPr>
          <w:rFonts w:hint="eastAsia"/>
        </w:rPr>
        <w:t>应设置可贸易结算的独立用电计量装置；</w:t>
      </w:r>
    </w:p>
    <w:p>
      <w:pPr>
        <w:pStyle w:val="174"/>
      </w:pPr>
      <w:r>
        <w:rPr>
          <w:rFonts w:hint="eastAsia"/>
        </w:rPr>
        <w:t>建筑高度≥100</w:t>
      </w:r>
      <w:r>
        <w:t xml:space="preserve"> </w:t>
      </w:r>
      <w:r>
        <w:rPr>
          <w:rFonts w:hint="eastAsia"/>
        </w:rPr>
        <w:t>m时，设置在中间楼层的泵房应采取可靠的减振防噪措施；</w:t>
      </w:r>
    </w:p>
    <w:p>
      <w:pPr>
        <w:pStyle w:val="174"/>
      </w:pPr>
      <w:r>
        <w:rPr>
          <w:rFonts w:hint="eastAsia"/>
        </w:rPr>
        <w:t>泵房不宜设置在地下最底层，宜与配电房在同一层；</w:t>
      </w:r>
    </w:p>
    <w:p>
      <w:pPr>
        <w:pStyle w:val="174"/>
      </w:pPr>
      <w:r>
        <w:rPr>
          <w:rFonts w:hint="eastAsia"/>
        </w:rPr>
        <w:t>室外泵房内部地面高出外部地面的高差不得小于0.3 m；</w:t>
      </w:r>
    </w:p>
    <w:p>
      <w:pPr>
        <w:pStyle w:val="174"/>
      </w:pPr>
      <w:r>
        <w:rPr>
          <w:rFonts w:hint="eastAsia"/>
        </w:rPr>
        <w:t>室外单独设置的泵房净高不低于3.5 m，设置在地下室内的泵房净高不低于3.0 m，并应满足设备起吊高度要求。</w:t>
      </w:r>
    </w:p>
    <w:p>
      <w:pPr>
        <w:pStyle w:val="165"/>
      </w:pPr>
      <w:r>
        <w:rPr>
          <w:rFonts w:hint="eastAsia"/>
        </w:rPr>
        <w:t>泵房及水池周边环境卫生较差，容易造成蚊虫滋生影响二次供水水质安全的，还应采取措施进行环境提升改造。</w:t>
      </w:r>
    </w:p>
    <w:p>
      <w:pPr>
        <w:pStyle w:val="165"/>
      </w:pPr>
      <w:r>
        <w:rPr>
          <w:rFonts w:hint="eastAsia"/>
        </w:rPr>
        <w:t>4.4.3 泵房内热环境除应符合GB 50015和GB 50736的有关规定以外，还应符合下列规定：</w:t>
      </w:r>
    </w:p>
    <w:p>
      <w:pPr>
        <w:pStyle w:val="174"/>
        <w:numPr>
          <w:ilvl w:val="0"/>
          <w:numId w:val="43"/>
        </w:numPr>
      </w:pPr>
      <w:r>
        <w:rPr>
          <w:rFonts w:hint="eastAsia"/>
        </w:rPr>
        <w:t>室外泵房的墙体、顶棚和门窗等应具有隔热措施；</w:t>
      </w:r>
    </w:p>
    <w:p>
      <w:pPr>
        <w:pStyle w:val="174"/>
      </w:pPr>
      <w:r>
        <w:rPr>
          <w:rFonts w:hint="eastAsia"/>
        </w:rPr>
        <w:t>泵房内温度无法保障设备正常运行的，可设置空调；</w:t>
      </w:r>
    </w:p>
    <w:p>
      <w:pPr>
        <w:pStyle w:val="174"/>
      </w:pPr>
      <w:r>
        <w:rPr>
          <w:rFonts w:hint="eastAsia"/>
        </w:rPr>
        <w:t>应设置通风设备，宜设置温度和湿度实时显示和监控装置。</w:t>
      </w:r>
    </w:p>
    <w:p>
      <w:pPr>
        <w:pStyle w:val="165"/>
      </w:pPr>
      <w:r>
        <w:rPr>
          <w:rFonts w:hint="eastAsia"/>
        </w:rPr>
        <w:t>泵房内卫生环境应符合下列规定：</w:t>
      </w:r>
    </w:p>
    <w:p>
      <w:pPr>
        <w:pStyle w:val="174"/>
        <w:numPr>
          <w:ilvl w:val="0"/>
          <w:numId w:val="44"/>
        </w:numPr>
      </w:pPr>
      <w:r>
        <w:rPr>
          <w:rFonts w:hint="eastAsia"/>
        </w:rPr>
        <w:t>泵房应安装防火防盗门，其尺寸应满足搬运最大设备需要，且净宽不得小于1.2</w:t>
      </w:r>
      <w:r>
        <w:t xml:space="preserve"> </w:t>
      </w:r>
      <w:r>
        <w:rPr>
          <w:rFonts w:hint="eastAsia"/>
        </w:rPr>
        <w:t>m，净高不得小于2</w:t>
      </w:r>
      <w:r>
        <w:t xml:space="preserve"> </w:t>
      </w:r>
      <w:r>
        <w:rPr>
          <w:rFonts w:hint="eastAsia"/>
        </w:rPr>
        <w:t>m，门框内侧宜用不锈钢包边，泵房入口处应设置不锈钢挡板，材料宜为不低于 S30408 不锈钢或同等性能级别的其他材料制作，挡板高度宜为 0.5</w:t>
      </w:r>
      <w:r>
        <w:t xml:space="preserve"> </w:t>
      </w:r>
      <w:r>
        <w:rPr>
          <w:rFonts w:hint="eastAsia"/>
        </w:rPr>
        <w:t>m；</w:t>
      </w:r>
    </w:p>
    <w:p>
      <w:pPr>
        <w:pStyle w:val="174"/>
      </w:pPr>
      <w:r>
        <w:rPr>
          <w:rFonts w:hint="eastAsia"/>
        </w:rPr>
        <w:t>窗户及通风孔应设不锈钢防护格栅式网罩；</w:t>
      </w:r>
    </w:p>
    <w:p>
      <w:pPr>
        <w:pStyle w:val="174"/>
      </w:pPr>
      <w:r>
        <w:rPr>
          <w:rFonts w:hint="eastAsia"/>
        </w:rPr>
        <w:t>泵房地面宜选用米黄色防滑瓷砖或环氧地坪材料，墙面宜贴白色瓷砖；</w:t>
      </w:r>
    </w:p>
    <w:p>
      <w:pPr>
        <w:pStyle w:val="174"/>
      </w:pPr>
      <w:r>
        <w:rPr>
          <w:rFonts w:hint="eastAsia"/>
        </w:rPr>
        <w:t>当泵房毗邻用户起居室的，泵房室内墙面 1.2</w:t>
      </w:r>
      <w:r>
        <w:t xml:space="preserve"> </w:t>
      </w:r>
      <w:r>
        <w:rPr>
          <w:rFonts w:hint="eastAsia"/>
        </w:rPr>
        <w:t>m以上应采用隔音板、隔音棉进行隔音处理；</w:t>
      </w:r>
    </w:p>
    <w:p>
      <w:pPr>
        <w:pStyle w:val="174"/>
      </w:pPr>
      <w:r>
        <w:rPr>
          <w:rFonts w:hint="eastAsia"/>
        </w:rPr>
        <w:t>泵房应设置保洁功能区，用于存放二次供水设施常用清洁维护用品、用具。</w:t>
      </w:r>
    </w:p>
    <w:p>
      <w:pPr>
        <w:pStyle w:val="165"/>
      </w:pPr>
      <w:r>
        <w:rPr>
          <w:rFonts w:hint="eastAsia"/>
        </w:rPr>
        <w:t>泵房内噪声环境除应符合GB 50015的规定外，还应符合下列规定：</w:t>
      </w:r>
    </w:p>
    <w:p>
      <w:pPr>
        <w:pStyle w:val="174"/>
        <w:numPr>
          <w:ilvl w:val="0"/>
          <w:numId w:val="45"/>
        </w:numPr>
      </w:pPr>
      <w:r>
        <w:rPr>
          <w:rFonts w:hint="eastAsia"/>
        </w:rPr>
        <w:t>泵房地面、墙面、顶板和设备基础应进行减振降噪处理，并应符合GB 3096的规定；</w:t>
      </w:r>
    </w:p>
    <w:p>
      <w:pPr>
        <w:pStyle w:val="174"/>
      </w:pPr>
      <w:r>
        <w:rPr>
          <w:rFonts w:hint="eastAsia"/>
        </w:rPr>
        <w:t>泵房设备、管道应采取柔性减振措施。管道穿过楼板或墙体时，孔洞周边应采取密封隔声措施。</w:t>
      </w:r>
    </w:p>
    <w:p>
      <w:pPr>
        <w:pStyle w:val="165"/>
      </w:pPr>
      <w:r>
        <w:rPr>
          <w:rFonts w:hint="eastAsia"/>
        </w:rPr>
        <w:t>泵房内电气环境应符合下列规定：</w:t>
      </w:r>
    </w:p>
    <w:p>
      <w:pPr>
        <w:pStyle w:val="174"/>
        <w:numPr>
          <w:ilvl w:val="0"/>
          <w:numId w:val="46"/>
        </w:numPr>
      </w:pPr>
      <w:r>
        <w:rPr>
          <w:rFonts w:hint="eastAsia"/>
        </w:rPr>
        <w:t>泵房内的电气控制设备应具备相应的防水、防潮等级，并应采取有效的防护措施；</w:t>
      </w:r>
    </w:p>
    <w:p>
      <w:pPr>
        <w:pStyle w:val="174"/>
      </w:pPr>
      <w:r>
        <w:rPr>
          <w:rFonts w:hint="eastAsia"/>
        </w:rPr>
        <w:t>泵房建筑结构应具有防雷击和安全接地的保护措施；</w:t>
      </w:r>
    </w:p>
    <w:p>
      <w:pPr>
        <w:pStyle w:val="174"/>
      </w:pPr>
      <w:r>
        <w:rPr>
          <w:rFonts w:hint="eastAsia"/>
        </w:rPr>
        <w:t>泵房电源应满足设备的安全运行，新建泵房宜采用双电源或双回路供电方式；</w:t>
      </w:r>
    </w:p>
    <w:p>
      <w:pPr>
        <w:pStyle w:val="174"/>
      </w:pPr>
      <w:r>
        <w:rPr>
          <w:rFonts w:hint="eastAsia"/>
        </w:rPr>
        <w:t>泵房内配电柜和控制柜前面通道宽度不宜小于1.5</w:t>
      </w:r>
      <w:r>
        <w:t xml:space="preserve"> </w:t>
      </w:r>
      <w:r>
        <w:rPr>
          <w:rFonts w:hint="eastAsia"/>
        </w:rPr>
        <w:t>m。</w:t>
      </w:r>
    </w:p>
    <w:p>
      <w:pPr>
        <w:pStyle w:val="165"/>
      </w:pPr>
      <w:r>
        <w:rPr>
          <w:rFonts w:hint="eastAsia"/>
        </w:rPr>
        <w:t>水泵机组宜设在水池（箱）的侧面、下方，水泵机组的布置，应满足国家标准GB 50015的规定。当电机额定功率不大于11</w:t>
      </w:r>
      <w:r>
        <w:t xml:space="preserve"> </w:t>
      </w:r>
      <w:r>
        <w:rPr>
          <w:rFonts w:hint="eastAsia"/>
        </w:rPr>
        <w:t>kW时，同型号水泵可共用同一基础。</w:t>
      </w:r>
    </w:p>
    <w:p>
      <w:pPr>
        <w:pStyle w:val="165"/>
      </w:pPr>
      <w:r>
        <w:rPr>
          <w:rFonts w:hint="eastAsia"/>
        </w:rPr>
        <w:t>泵房内部及进出通道的照明系统除应符合GB 50034的规定外，还应符合下列规定；</w:t>
      </w:r>
    </w:p>
    <w:p>
      <w:pPr>
        <w:pStyle w:val="174"/>
        <w:numPr>
          <w:ilvl w:val="0"/>
          <w:numId w:val="47"/>
        </w:numPr>
      </w:pPr>
      <w:r>
        <w:rPr>
          <w:rFonts w:hint="eastAsia"/>
        </w:rPr>
        <w:t>地上式泵房应充分利用自然采光，并应有防止阳光直射的措施；</w:t>
      </w:r>
    </w:p>
    <w:p>
      <w:pPr>
        <w:pStyle w:val="174"/>
      </w:pPr>
      <w:r>
        <w:rPr>
          <w:rFonts w:hint="eastAsia"/>
        </w:rPr>
        <w:t>泵房应配置应急备用照明系统，并应符合GB 50016的规定；</w:t>
      </w:r>
    </w:p>
    <w:p>
      <w:pPr>
        <w:pStyle w:val="174"/>
      </w:pPr>
      <w:r>
        <w:rPr>
          <w:rFonts w:hint="eastAsia"/>
        </w:rPr>
        <w:t>泵房照明应采用防水、防潮和高效节能的灯具，且便于检修和更新。</w:t>
      </w:r>
    </w:p>
    <w:p>
      <w:pPr>
        <w:pStyle w:val="165"/>
      </w:pPr>
      <w:r>
        <w:rPr>
          <w:rFonts w:hint="eastAsia"/>
        </w:rPr>
        <w:t>设备设施应设置统一、规范的标识标牌。</w:t>
      </w:r>
    </w:p>
    <w:p>
      <w:pPr>
        <w:pStyle w:val="165"/>
      </w:pPr>
      <w:r>
        <w:rPr>
          <w:rFonts w:hint="eastAsia"/>
        </w:rPr>
        <w:t>泵房内应预留足够空间，以满足水泵机组和相关设备安装及检修的要求，宜根据水泵电机等设备的重量设置起重设备。泵房室内水泵机组的布置应符合表</w:t>
      </w:r>
      <w:r>
        <w:t>1</w:t>
      </w:r>
      <w:r>
        <w:rPr>
          <w:rFonts w:hint="eastAsia"/>
        </w:rPr>
        <w:t>的规定。</w:t>
      </w:r>
    </w:p>
    <w:p>
      <w:pPr>
        <w:pStyle w:val="112"/>
        <w:spacing w:before="156" w:after="156"/>
      </w:pPr>
      <w:r>
        <w:rPr>
          <w:rFonts w:hint="eastAsia"/>
        </w:rPr>
        <w:t>水泵机组外轮廓面与墙和相邻机组间的间距</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3544"/>
        <w:gridCol w:w="353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2258" w:type="dxa"/>
            <w:tcBorders>
              <w:top w:val="single" w:color="auto" w:sz="8" w:space="0"/>
              <w:bottom w:val="single" w:color="auto" w:sz="8" w:space="0"/>
            </w:tcBorders>
            <w:shd w:val="clear" w:color="auto" w:fill="auto"/>
            <w:vAlign w:val="center"/>
          </w:tcPr>
          <w:p>
            <w:pPr>
              <w:pStyle w:val="178"/>
            </w:pPr>
            <w:r>
              <w:rPr>
                <w:rFonts w:hint="eastAsia"/>
              </w:rPr>
              <w:t>电动机额定功率（k</w:t>
            </w:r>
            <w:r>
              <w:t>W</w:t>
            </w:r>
            <w:r>
              <w:rPr>
                <w:rFonts w:hint="eastAsia"/>
              </w:rPr>
              <w:t>）</w:t>
            </w:r>
          </w:p>
        </w:tc>
        <w:tc>
          <w:tcPr>
            <w:tcW w:w="3544" w:type="dxa"/>
            <w:tcBorders>
              <w:top w:val="single" w:color="auto" w:sz="8" w:space="0"/>
              <w:bottom w:val="single" w:color="auto" w:sz="8" w:space="0"/>
            </w:tcBorders>
            <w:shd w:val="clear" w:color="auto" w:fill="auto"/>
            <w:vAlign w:val="center"/>
          </w:tcPr>
          <w:p>
            <w:pPr>
              <w:pStyle w:val="178"/>
            </w:pPr>
            <w:r>
              <w:rPr>
                <w:rFonts w:hint="eastAsia"/>
              </w:rPr>
              <w:t>水泵</w:t>
            </w:r>
            <w:r>
              <w:t>机组外轮廓与墙面之间的最小</w:t>
            </w:r>
            <w:r>
              <w:rPr>
                <w:rFonts w:hint="eastAsia"/>
              </w:rPr>
              <w:t>间距（m）</w:t>
            </w:r>
          </w:p>
        </w:tc>
        <w:tc>
          <w:tcPr>
            <w:tcW w:w="3532" w:type="dxa"/>
            <w:tcBorders>
              <w:top w:val="single" w:color="auto" w:sz="8" w:space="0"/>
              <w:bottom w:val="single" w:color="auto" w:sz="8" w:space="0"/>
            </w:tcBorders>
            <w:shd w:val="clear" w:color="auto" w:fill="auto"/>
            <w:vAlign w:val="center"/>
          </w:tcPr>
          <w:p>
            <w:pPr>
              <w:pStyle w:val="178"/>
            </w:pPr>
            <w:r>
              <w:rPr>
                <w:rFonts w:hint="eastAsia"/>
              </w:rPr>
              <w:t>相邻水泵</w:t>
            </w:r>
            <w:r>
              <w:t>机组外轮廓</w:t>
            </w:r>
            <w:r>
              <w:rPr>
                <w:rFonts w:hint="eastAsia"/>
              </w:rPr>
              <w:t>面</w:t>
            </w:r>
            <w:r>
              <w:t>之间的最小</w:t>
            </w:r>
            <w:r>
              <w:rPr>
                <w:rFonts w:hint="eastAsia"/>
              </w:rPr>
              <w:t>间距（m）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tcBorders>
              <w:top w:val="single" w:color="auto" w:sz="8" w:space="0"/>
            </w:tcBorders>
            <w:shd w:val="clear" w:color="auto" w:fill="auto"/>
            <w:vAlign w:val="center"/>
          </w:tcPr>
          <w:p>
            <w:pPr>
              <w:pStyle w:val="178"/>
            </w:pPr>
            <w:r>
              <w:rPr>
                <w:rFonts w:hint="eastAsia"/>
              </w:rPr>
              <w:t>≤22</w:t>
            </w:r>
          </w:p>
        </w:tc>
        <w:tc>
          <w:tcPr>
            <w:tcW w:w="3544" w:type="dxa"/>
            <w:tcBorders>
              <w:top w:val="single" w:color="auto" w:sz="8" w:space="0"/>
            </w:tcBorders>
            <w:shd w:val="clear" w:color="auto" w:fill="auto"/>
            <w:vAlign w:val="center"/>
          </w:tcPr>
          <w:p>
            <w:pPr>
              <w:pStyle w:val="178"/>
            </w:pPr>
            <w:r>
              <w:rPr>
                <w:rFonts w:hint="eastAsia"/>
              </w:rPr>
              <w:t>0.8</w:t>
            </w:r>
          </w:p>
        </w:tc>
        <w:tc>
          <w:tcPr>
            <w:tcW w:w="3532" w:type="dxa"/>
            <w:tcBorders>
              <w:top w:val="single" w:color="auto" w:sz="8" w:space="0"/>
            </w:tcBorders>
            <w:shd w:val="clear" w:color="auto" w:fill="auto"/>
            <w:vAlign w:val="center"/>
          </w:tcPr>
          <w:p>
            <w:pPr>
              <w:pStyle w:val="178"/>
            </w:pPr>
            <w:r>
              <w:rPr>
                <w:rFonts w:hint="eastAsia"/>
              </w:rPr>
              <w:t>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178"/>
            </w:pPr>
            <w:r>
              <w:rPr>
                <w:rFonts w:hint="eastAsia"/>
              </w:rPr>
              <w:t>＞2</w:t>
            </w:r>
            <w:r>
              <w:t>2</w:t>
            </w:r>
            <w:r>
              <w:rPr>
                <w:rFonts w:hint="eastAsia"/>
              </w:rPr>
              <w:t>，＜55</w:t>
            </w:r>
          </w:p>
        </w:tc>
        <w:tc>
          <w:tcPr>
            <w:tcW w:w="3544" w:type="dxa"/>
            <w:shd w:val="clear" w:color="auto" w:fill="auto"/>
            <w:vAlign w:val="center"/>
          </w:tcPr>
          <w:p>
            <w:pPr>
              <w:pStyle w:val="178"/>
            </w:pPr>
            <w:r>
              <w:rPr>
                <w:rFonts w:hint="eastAsia"/>
              </w:rPr>
              <w:t>1.0</w:t>
            </w:r>
          </w:p>
        </w:tc>
        <w:tc>
          <w:tcPr>
            <w:tcW w:w="3532" w:type="dxa"/>
            <w:shd w:val="clear" w:color="auto" w:fill="auto"/>
            <w:vAlign w:val="center"/>
          </w:tcPr>
          <w:p>
            <w:pPr>
              <w:pStyle w:val="178"/>
            </w:pPr>
            <w:r>
              <w:rPr>
                <w:rFonts w:hint="eastAsia"/>
              </w:rPr>
              <w:t>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2258" w:type="dxa"/>
            <w:shd w:val="clear" w:color="auto" w:fill="auto"/>
            <w:vAlign w:val="center"/>
          </w:tcPr>
          <w:p>
            <w:pPr>
              <w:pStyle w:val="178"/>
            </w:pPr>
            <w:r>
              <w:rPr>
                <w:rFonts w:hint="eastAsia"/>
              </w:rPr>
              <w:t>≥55，</w:t>
            </w:r>
            <w:r>
              <w:t>≤160</w:t>
            </w:r>
          </w:p>
        </w:tc>
        <w:tc>
          <w:tcPr>
            <w:tcW w:w="3544" w:type="dxa"/>
            <w:shd w:val="clear" w:color="auto" w:fill="auto"/>
            <w:vAlign w:val="center"/>
          </w:tcPr>
          <w:p>
            <w:pPr>
              <w:pStyle w:val="178"/>
            </w:pPr>
            <w:r>
              <w:rPr>
                <w:rFonts w:hint="eastAsia"/>
              </w:rPr>
              <w:t>1.2</w:t>
            </w:r>
          </w:p>
        </w:tc>
        <w:tc>
          <w:tcPr>
            <w:tcW w:w="3532" w:type="dxa"/>
            <w:shd w:val="clear" w:color="auto" w:fill="auto"/>
            <w:vAlign w:val="center"/>
          </w:tcPr>
          <w:p>
            <w:pPr>
              <w:pStyle w:val="178"/>
            </w:pPr>
            <w:r>
              <w:rPr>
                <w:rFonts w:hint="eastAsia"/>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4" w:hRule="atLeast"/>
          <w:jc w:val="center"/>
        </w:trPr>
        <w:tc>
          <w:tcPr>
            <w:tcW w:w="9334" w:type="dxa"/>
            <w:gridSpan w:val="3"/>
            <w:shd w:val="clear" w:color="auto" w:fill="auto"/>
            <w:vAlign w:val="center"/>
          </w:tcPr>
          <w:p>
            <w:pPr>
              <w:pStyle w:val="178"/>
              <w:jc w:val="left"/>
            </w:pPr>
            <w:r>
              <w:rPr>
                <w:rFonts w:hint="eastAsia"/>
              </w:rPr>
              <w:t>注1：</w:t>
            </w:r>
            <w:r>
              <w:t>水泵侧面有管道时，外轮廓面计至管道外壁面。</w:t>
            </w:r>
          </w:p>
          <w:p>
            <w:pPr>
              <w:pStyle w:val="178"/>
              <w:jc w:val="left"/>
            </w:pPr>
            <w:r>
              <w:rPr>
                <w:rFonts w:hint="eastAsia"/>
              </w:rPr>
              <w:t>注2：</w:t>
            </w:r>
            <w:r>
              <w:t>水泵机组是指水泵与电动机的联合体，或已安装在金属座</w:t>
            </w:r>
            <w:r>
              <w:rPr>
                <w:rFonts w:hint="eastAsia"/>
              </w:rPr>
              <w:t>架上</w:t>
            </w:r>
            <w:r>
              <w:t>的多台</w:t>
            </w:r>
            <w:r>
              <w:rPr>
                <w:rFonts w:hint="eastAsia"/>
              </w:rPr>
              <w:t>水泵</w:t>
            </w:r>
            <w:r>
              <w:t>组合体。</w:t>
            </w:r>
          </w:p>
        </w:tc>
      </w:tr>
    </w:tbl>
    <w:p>
      <w:pPr>
        <w:pStyle w:val="165"/>
      </w:pPr>
      <w:r>
        <w:rPr>
          <w:rFonts w:hint="eastAsia"/>
        </w:rPr>
        <w:t>水泵机组的基础应采用混凝土捣制，且要高出泵房地面不小于0.2</w:t>
      </w:r>
      <w:r>
        <w:t xml:space="preserve"> </w:t>
      </w:r>
      <w:r>
        <w:rPr>
          <w:rFonts w:hint="eastAsia"/>
        </w:rPr>
        <w:t>m，并设置防振装置。</w:t>
      </w:r>
    </w:p>
    <w:p>
      <w:pPr>
        <w:pStyle w:val="165"/>
      </w:pPr>
      <w:r>
        <w:rPr>
          <w:rFonts w:hint="eastAsia"/>
        </w:rPr>
        <w:t>泵房内电控系统应采取防水、防潮和消防等安全保护措施。配电柜基础采用C20混凝土浇筑，泵房内电气设备和其他电气设施的底部应高出泵房地面不小于0.3</w:t>
      </w:r>
      <w:r>
        <w:t xml:space="preserve"> </w:t>
      </w:r>
      <w:r>
        <w:rPr>
          <w:rFonts w:hint="eastAsia"/>
        </w:rPr>
        <w:t>m。</w:t>
      </w:r>
    </w:p>
    <w:p>
      <w:pPr>
        <w:pStyle w:val="165"/>
      </w:pPr>
      <w:r>
        <w:rPr>
          <w:rFonts w:hint="eastAsia"/>
        </w:rPr>
        <w:t>进出泵房供配电电缆保护管必须采用防火泥进行封堵。</w:t>
      </w:r>
    </w:p>
    <w:p>
      <w:pPr>
        <w:pStyle w:val="165"/>
      </w:pPr>
      <w:r>
        <w:rPr>
          <w:rFonts w:hint="eastAsia"/>
        </w:rPr>
        <w:t>二次供水泵房内管道、管件及连接件材质应选用不低于S30408不锈钢材料，宜采用S31608不锈钢。</w:t>
      </w:r>
    </w:p>
    <w:p>
      <w:pPr>
        <w:pStyle w:val="165"/>
      </w:pPr>
      <w:r>
        <w:rPr>
          <w:rFonts w:hint="eastAsia"/>
        </w:rPr>
        <w:t>泵房应设置排水设施，泵房内地面应有不小于0.01的坡度坡向排水设施。</w:t>
      </w:r>
    </w:p>
    <w:p>
      <w:pPr>
        <w:pStyle w:val="165"/>
      </w:pPr>
      <w:r>
        <w:rPr>
          <w:rFonts w:hint="eastAsia"/>
        </w:rPr>
        <w:t>地下室泵房应单独设置集水井并安装潜污泵，潜污泵采用液位仪控制，一用一备，出水管管径不得小于DN80。</w:t>
      </w:r>
    </w:p>
    <w:p>
      <w:pPr>
        <w:pStyle w:val="165"/>
      </w:pPr>
      <w:r>
        <w:rPr>
          <w:rFonts w:hint="eastAsia"/>
        </w:rPr>
        <w:t>泵房用电设备电缆单芯截面积4</w:t>
      </w:r>
      <w:r>
        <w:t xml:space="preserve"> </w:t>
      </w:r>
      <w:r>
        <w:rPr>
          <w:rFonts w:hint="eastAsia"/>
        </w:rPr>
        <w:t>mm及以上，必须采用YJV（或YJV22）型规格电缆，若泵房所在建筑对电缆有更高防火要求的，则采用电缆应同时符合所在建筑的防火要求。</w:t>
      </w:r>
    </w:p>
    <w:p>
      <w:pPr>
        <w:pStyle w:val="165"/>
      </w:pPr>
      <w:r>
        <w:rPr>
          <w:rFonts w:hint="eastAsia"/>
        </w:rPr>
        <w:t>泵房内配备防潮照明灯，高度离地不超过3.5</w:t>
      </w:r>
      <w:r>
        <w:t xml:space="preserve"> </w:t>
      </w:r>
      <w:r>
        <w:rPr>
          <w:rFonts w:hint="eastAsia"/>
        </w:rPr>
        <w:t>m，照度要求应满足GB 50034的相关要求，墙上配防潮单相插座及照明开关。同时泵房必须配置备用照明灯，备用照度值不应低于正常照度。</w:t>
      </w:r>
    </w:p>
    <w:p>
      <w:pPr>
        <w:pStyle w:val="165"/>
      </w:pPr>
      <w:r>
        <w:rPr>
          <w:rFonts w:hint="eastAsia"/>
        </w:rPr>
        <w:t>泵房应安装轴流风机和百叶窗，宽宜0.6</w:t>
      </w:r>
      <w:r>
        <w:t xml:space="preserve"> </w:t>
      </w:r>
      <w:r>
        <w:rPr>
          <w:rFonts w:hint="eastAsia"/>
        </w:rPr>
        <w:t>m，高宜0.4</w:t>
      </w:r>
      <w:r>
        <w:t xml:space="preserve"> </w:t>
      </w:r>
      <w:r>
        <w:rPr>
          <w:rFonts w:hint="eastAsia"/>
        </w:rPr>
        <w:t>m。窗户及通风孔应设防护格栅式网罩。</w:t>
      </w:r>
    </w:p>
    <w:p>
      <w:pPr>
        <w:pStyle w:val="165"/>
      </w:pPr>
      <w:r>
        <w:rPr>
          <w:rFonts w:hint="eastAsia"/>
        </w:rPr>
        <w:t>独立的泵房建筑物应按照 GB 50057采取防雷措施。泵房应采用共用接地网，接地网的接地电阻应符合其中设备接地电阻最小值的要求。泵房接地应符合 GB/T 50065的规定。</w:t>
      </w:r>
    </w:p>
    <w:p>
      <w:pPr>
        <w:pStyle w:val="165"/>
      </w:pPr>
      <w:r>
        <w:rPr>
          <w:rFonts w:hint="eastAsia"/>
        </w:rPr>
        <w:t>泵房内的电缆布线按 GB 50303的</w:t>
      </w:r>
      <w:r>
        <w:t>要求</w:t>
      </w:r>
      <w:r>
        <w:rPr>
          <w:rFonts w:hint="eastAsia"/>
        </w:rPr>
        <w:t>施工，与其它设备的间距符合规范要求，架空电缆下方不得布置水泵机组。</w:t>
      </w:r>
    </w:p>
    <w:p>
      <w:pPr>
        <w:pStyle w:val="165"/>
      </w:pPr>
      <w:r>
        <w:rPr>
          <w:rFonts w:hint="eastAsia"/>
        </w:rPr>
        <w:t>泵房内应具备有线网络（光纤）接入条件，同时，应确保无线网络信号全覆盖。有线网络接入时，泵房外宜采用电缆井或电缆桥架形式铺设，泵房内应采用保护套管形式铺设。</w:t>
      </w:r>
    </w:p>
    <w:p>
      <w:pPr>
        <w:pStyle w:val="165"/>
      </w:pPr>
      <w:r>
        <w:rPr>
          <w:rFonts w:hint="eastAsia"/>
        </w:rPr>
        <w:t>泵房内应设具有独立漏电保护开关和空气开关，且有接地的配电箱一个，内设380 V和220 V电源接口各不少于一个。</w:t>
      </w:r>
    </w:p>
    <w:p>
      <w:pPr>
        <w:pStyle w:val="165"/>
      </w:pPr>
      <w:r>
        <w:rPr>
          <w:rFonts w:hint="eastAsia"/>
        </w:rPr>
        <w:t>泵房可安装吊顶，吊顶宜使用半通透的方通，便于观察和维修。</w:t>
      </w:r>
    </w:p>
    <w:p>
      <w:pPr>
        <w:pStyle w:val="165"/>
      </w:pPr>
      <w:r>
        <w:rPr>
          <w:rFonts w:hint="eastAsia"/>
        </w:rPr>
        <w:t>吊顶表面应平整、洁净、无污染、色泽美观一致，下部不宜设置灯箱。</w:t>
      </w:r>
    </w:p>
    <w:p>
      <w:pPr>
        <w:pStyle w:val="165"/>
      </w:pPr>
      <w:r>
        <w:rPr>
          <w:rFonts w:hint="eastAsia"/>
        </w:rPr>
        <w:t>泵房室内墙面全部贴白色瓷砖到吊顶，并可在墙面采取加设无孔吸音板。</w:t>
      </w:r>
    </w:p>
    <w:p>
      <w:pPr>
        <w:pStyle w:val="165"/>
      </w:pPr>
      <w:r>
        <w:rPr>
          <w:rFonts w:hint="eastAsia"/>
        </w:rPr>
        <w:t>泵房地面铺砌防滑瓷砖，水箱、水泵基础铺砌瓷砖。</w:t>
      </w:r>
    </w:p>
    <w:p>
      <w:pPr>
        <w:pStyle w:val="165"/>
      </w:pPr>
      <w:r>
        <w:rPr>
          <w:rFonts w:hint="eastAsia"/>
        </w:rPr>
        <w:t>泵房应设置下列附属设备和设施:</w:t>
      </w:r>
    </w:p>
    <w:p>
      <w:pPr>
        <w:pStyle w:val="132"/>
      </w:pPr>
      <w:r>
        <w:rPr>
          <w:rFonts w:hint="eastAsia"/>
        </w:rPr>
        <w:t>泵房内应设置地面液位报警装置，报警仪设置离地面50</w:t>
      </w:r>
      <w:r>
        <w:t xml:space="preserve"> </w:t>
      </w:r>
      <w:r>
        <w:rPr>
          <w:rFonts w:hint="eastAsia"/>
        </w:rPr>
        <w:t>mm；</w:t>
      </w:r>
    </w:p>
    <w:p>
      <w:pPr>
        <w:pStyle w:val="132"/>
      </w:pPr>
      <w:r>
        <w:rPr>
          <w:rFonts w:hint="eastAsia"/>
        </w:rPr>
        <w:t>泵房内应配置烟感探测器，并配置手提式 ABC 干粉灭火器不少于2只；</w:t>
      </w:r>
    </w:p>
    <w:p>
      <w:pPr>
        <w:pStyle w:val="132"/>
      </w:pPr>
      <w:r>
        <w:rPr>
          <w:rFonts w:hint="eastAsia"/>
        </w:rPr>
        <w:t>泵房门口应设置二次供水生活泵房标志；</w:t>
      </w:r>
    </w:p>
    <w:p>
      <w:pPr>
        <w:pStyle w:val="132"/>
      </w:pPr>
      <w:r>
        <w:rPr>
          <w:rFonts w:hint="eastAsia"/>
        </w:rPr>
        <w:t>泵房内应安装防盗、监控装置，并具有远程监督和控制功能；</w:t>
      </w:r>
    </w:p>
    <w:p>
      <w:pPr>
        <w:pStyle w:val="132"/>
      </w:pPr>
      <w:r>
        <w:rPr>
          <w:rFonts w:hint="eastAsia"/>
        </w:rPr>
        <w:t>泵房门应内设0.5</w:t>
      </w:r>
      <w:r>
        <w:t xml:space="preserve"> </w:t>
      </w:r>
      <w:r>
        <w:rPr>
          <w:rFonts w:hint="eastAsia"/>
        </w:rPr>
        <w:t>m高不锈钢挡鼠板；</w:t>
      </w:r>
    </w:p>
    <w:p>
      <w:pPr>
        <w:pStyle w:val="132"/>
      </w:pPr>
      <w:r>
        <w:rPr>
          <w:rFonts w:hint="eastAsia"/>
        </w:rPr>
        <w:t>泵房内应设置防潮仪或除湿器。</w:t>
      </w:r>
    </w:p>
    <w:p>
      <w:pPr>
        <w:pStyle w:val="165"/>
      </w:pPr>
      <w:r>
        <w:rPr>
          <w:rFonts w:hint="eastAsia"/>
        </w:rPr>
        <w:t>泵房内不得放置与供水无关的设备、物品。与供水无关的排水管渠等其他管线不得穿越泵房。</w:t>
      </w:r>
    </w:p>
    <w:p>
      <w:pPr>
        <w:pStyle w:val="165"/>
      </w:pPr>
      <w:r>
        <w:rPr>
          <w:rFonts w:hint="eastAsia"/>
        </w:rPr>
        <w:t>泵房设计时应充分考虑通风、采光、排水以及防止外界雨水、废水、污水等进入的措施。泵房设置在地下室时，每小时换气次数不少于4次。</w:t>
      </w:r>
    </w:p>
    <w:p>
      <w:pPr>
        <w:pStyle w:val="105"/>
        <w:spacing w:before="156" w:after="156"/>
      </w:pPr>
      <w:bookmarkStart w:id="62" w:name="_Toc148526815"/>
      <w:r>
        <w:rPr>
          <w:rFonts w:hint="eastAsia"/>
        </w:rPr>
        <w:t>水泵</w:t>
      </w:r>
      <w:bookmarkEnd w:id="62"/>
    </w:p>
    <w:p>
      <w:pPr>
        <w:pStyle w:val="165"/>
      </w:pPr>
      <w:r>
        <w:rPr>
          <w:rFonts w:hint="eastAsia"/>
        </w:rPr>
        <w:t>应具备有效减小轴向力，延长电机轴承使用寿命，并可根据需求变化对泵的性能进行自动调节功能。</w:t>
      </w:r>
    </w:p>
    <w:p>
      <w:pPr>
        <w:pStyle w:val="165"/>
      </w:pPr>
      <w:r>
        <w:rPr>
          <w:rFonts w:hint="eastAsia"/>
        </w:rPr>
        <w:t>宜选用不锈钢离心泵，泵壳及过流部件应选用不低于S30408不锈钢材质或同等性能级别的其他材料。</w:t>
      </w:r>
    </w:p>
    <w:p>
      <w:pPr>
        <w:pStyle w:val="165"/>
      </w:pPr>
      <w:r>
        <w:rPr>
          <w:rFonts w:hint="eastAsia"/>
        </w:rPr>
        <w:t>水泵能效应符合GB 18613规定的‖级能效及以上标准。</w:t>
      </w:r>
    </w:p>
    <w:p>
      <w:pPr>
        <w:pStyle w:val="165"/>
      </w:pPr>
      <w:r>
        <w:rPr>
          <w:rFonts w:hint="eastAsia"/>
        </w:rPr>
        <w:t>水泵电机应采用F级绝缘或以上，IP55 防护设计。</w:t>
      </w:r>
    </w:p>
    <w:p>
      <w:pPr>
        <w:pStyle w:val="165"/>
      </w:pPr>
      <w:r>
        <w:rPr>
          <w:rFonts w:hint="eastAsia"/>
        </w:rPr>
        <w:t>噪声应符合</w:t>
      </w:r>
      <w:r>
        <w:t>G</w:t>
      </w:r>
      <w:r>
        <w:rPr>
          <w:rFonts w:hint="eastAsia"/>
        </w:rPr>
        <w:t xml:space="preserve">B/T </w:t>
      </w:r>
      <w:r>
        <w:t>29529</w:t>
      </w:r>
      <w:r>
        <w:rPr>
          <w:rFonts w:hint="eastAsia"/>
        </w:rPr>
        <w:t>规定的</w:t>
      </w:r>
      <w:r>
        <w:t>A</w:t>
      </w:r>
      <w:r>
        <w:rPr>
          <w:rFonts w:hint="eastAsia"/>
        </w:rPr>
        <w:t>级及以上标准。</w:t>
      </w:r>
    </w:p>
    <w:p>
      <w:pPr>
        <w:pStyle w:val="165"/>
      </w:pPr>
      <w:r>
        <w:rPr>
          <w:rFonts w:hint="eastAsia"/>
        </w:rPr>
        <w:t>振动应符合GB/T 295</w:t>
      </w:r>
      <w:r>
        <w:t>31</w:t>
      </w:r>
      <w:r>
        <w:rPr>
          <w:rFonts w:hint="eastAsia"/>
        </w:rPr>
        <w:t>规定的</w:t>
      </w:r>
      <w:r>
        <w:t>A</w:t>
      </w:r>
      <w:r>
        <w:rPr>
          <w:rFonts w:hint="eastAsia"/>
        </w:rPr>
        <w:t>级及以上标准。</w:t>
      </w:r>
    </w:p>
    <w:p>
      <w:pPr>
        <w:pStyle w:val="165"/>
      </w:pPr>
      <w:r>
        <w:rPr>
          <w:rFonts w:hint="eastAsia"/>
        </w:rPr>
        <w:t>水泵应采用自灌式吸水,当因条件所限不能自灌吸水时应采取可靠的引水措施。</w:t>
      </w:r>
    </w:p>
    <w:p>
      <w:pPr>
        <w:pStyle w:val="165"/>
      </w:pPr>
      <w:r>
        <w:rPr>
          <w:rFonts w:hint="eastAsia"/>
        </w:rPr>
        <w:t>每台水泵的出水管应设阀门、止回阀、伸缩器（橡胶接头）、压力表。每台水泵的吸水管上必须装设阀门、伸缩器（橡胶接头），宜装设过滤器，压力检测设备应装设在水泵进出水管的止回阀前,必要时应设置水锤消除装置。</w:t>
      </w:r>
    </w:p>
    <w:p>
      <w:pPr>
        <w:pStyle w:val="165"/>
      </w:pPr>
      <w:r>
        <w:rPr>
          <w:rFonts w:hint="eastAsia"/>
        </w:rPr>
        <w:t>进出水总管宜装设阀门，阀门应为电动阀门，并具有与水泵联动的功能。</w:t>
      </w:r>
    </w:p>
    <w:p>
      <w:pPr>
        <w:pStyle w:val="165"/>
      </w:pPr>
      <w:r>
        <w:rPr>
          <w:rFonts w:hint="eastAsia"/>
        </w:rPr>
        <w:t>出水总管应安装压力传感器，压力传感器应安装在出水总管的震动小、水压平稳处。压力表量程选择应为工作压力的 1.5倍～2.0倍。</w:t>
      </w:r>
    </w:p>
    <w:p>
      <w:pPr>
        <w:pStyle w:val="165"/>
      </w:pPr>
      <w:r>
        <w:rPr>
          <w:rFonts w:hint="eastAsia"/>
        </w:rPr>
        <w:t>出水总管处应设置数据采集装置。包括压力变送器、余氯、PH、浊度等在线式仪表、水质采样装置等。采集数据须满足实时或间隔性传输。</w:t>
      </w:r>
    </w:p>
    <w:p>
      <w:pPr>
        <w:pStyle w:val="165"/>
      </w:pPr>
      <w:r>
        <w:rPr>
          <w:rFonts w:hint="eastAsia"/>
        </w:rPr>
        <w:t>水泵吸水口处变径宜采用偏心管件，水泵出水口变径应采用同心管件。</w:t>
      </w:r>
    </w:p>
    <w:p>
      <w:pPr>
        <w:pStyle w:val="165"/>
      </w:pPr>
      <w:r>
        <w:rPr>
          <w:rFonts w:hint="eastAsia"/>
        </w:rPr>
        <w:t>建筑二次加压给水系统应设置气压罐（稳压罐），宜采用气囊式。</w:t>
      </w:r>
    </w:p>
    <w:p>
      <w:pPr>
        <w:pStyle w:val="165"/>
      </w:pPr>
      <w:r>
        <w:rPr>
          <w:rFonts w:hint="eastAsia"/>
        </w:rPr>
        <w:t>气压罐（稳压罐）壳体及其附属配件为不锈钢 S30408 或以上材质，壁厚要求完全达到压力容器设计标准。气压罐内橡胶囊材质应不低于 EPDM。</w:t>
      </w:r>
    </w:p>
    <w:p>
      <w:pPr>
        <w:pStyle w:val="165"/>
      </w:pPr>
      <w:r>
        <w:rPr>
          <w:rFonts w:hint="eastAsia"/>
        </w:rPr>
        <w:t>气压罐（稳压罐）的设计、制造、检验应符合JB 4732和YB 9073的要求。压力容器作为特种设备，设备供应商应具备“中华人民共和国特种设备制造许可证”。</w:t>
      </w:r>
    </w:p>
    <w:p>
      <w:pPr>
        <w:pStyle w:val="105"/>
        <w:spacing w:before="156" w:after="156"/>
      </w:pPr>
      <w:bookmarkStart w:id="63" w:name="_Toc148526816"/>
      <w:r>
        <w:rPr>
          <w:rFonts w:hint="eastAsia"/>
        </w:rPr>
        <w:t>叠压供水设备</w:t>
      </w:r>
      <w:bookmarkEnd w:id="63"/>
    </w:p>
    <w:p>
      <w:pPr>
        <w:pStyle w:val="165"/>
      </w:pPr>
      <w:r>
        <w:rPr>
          <w:rFonts w:hint="eastAsia"/>
        </w:rPr>
        <w:t>成套叠压设备应具备无负压、全密闭稳定补偿、缺水保护、小流量保压、水泵自动切换、休眠与唤醒、远程监控和故障报警等功能。</w:t>
      </w:r>
    </w:p>
    <w:p>
      <w:pPr>
        <w:pStyle w:val="165"/>
      </w:pPr>
      <w:r>
        <w:rPr>
          <w:rFonts w:hint="eastAsia"/>
        </w:rPr>
        <w:t>气压罐承压最低等级为1.6</w:t>
      </w:r>
      <w:r>
        <w:t xml:space="preserve"> </w:t>
      </w:r>
      <w:r>
        <w:rPr>
          <w:rFonts w:hint="eastAsia"/>
        </w:rPr>
        <w:t>MPa，设备在1.5倍设计压力下保压 30min 应无变形或损坏，在 1.1倍设计压力下保压30</w:t>
      </w:r>
      <w:r>
        <w:t xml:space="preserve"> </w:t>
      </w:r>
      <w:r>
        <w:rPr>
          <w:rFonts w:hint="eastAsia"/>
        </w:rPr>
        <w:t>min应无渗漏。</w:t>
      </w:r>
    </w:p>
    <w:p>
      <w:pPr>
        <w:pStyle w:val="165"/>
      </w:pPr>
      <w:r>
        <w:rPr>
          <w:rFonts w:hint="eastAsia"/>
        </w:rPr>
        <w:t>稳流补偿器、真空抑制器、倒流防止器、过滤器及连接管段等部件，应采用耐腐蚀性能不低于S30408不锈钢或其他同等级别的材料制作，稳流罐罐体应采用S31603不锈钢材质。</w:t>
      </w:r>
    </w:p>
    <w:p>
      <w:pPr>
        <w:pStyle w:val="165"/>
      </w:pPr>
      <w:r>
        <w:rPr>
          <w:rFonts w:hint="eastAsia"/>
        </w:rPr>
        <w:t>成套叠压设备应具备多种支持数据采集、传输、储存的功能。</w:t>
      </w:r>
    </w:p>
    <w:p>
      <w:pPr>
        <w:pStyle w:val="165"/>
      </w:pPr>
      <w:r>
        <w:rPr>
          <w:rFonts w:hint="eastAsia"/>
        </w:rPr>
        <w:t>叠压配套用水泵，除满足本条款要求之外，须满足本文件 5.7规定要求。</w:t>
      </w:r>
    </w:p>
    <w:p>
      <w:pPr>
        <w:pStyle w:val="165"/>
      </w:pPr>
      <w:r>
        <w:rPr>
          <w:rFonts w:hint="eastAsia"/>
        </w:rPr>
        <w:t>叠压式供水设备应符合 GB/T 26003的规定。</w:t>
      </w:r>
    </w:p>
    <w:p>
      <w:pPr>
        <w:pStyle w:val="165"/>
      </w:pPr>
      <w:r>
        <w:rPr>
          <w:rFonts w:hint="eastAsia"/>
        </w:rPr>
        <w:t>叠压式供水设备的进水管应单独接自供水干管，宜从环状供水干管接入。</w:t>
      </w:r>
    </w:p>
    <w:p>
      <w:pPr>
        <w:pStyle w:val="165"/>
      </w:pPr>
      <w:r>
        <w:rPr>
          <w:rFonts w:hint="eastAsia"/>
        </w:rPr>
        <w:t>叠压式供水设备进出水管之间可设旁通管，旁通管应设阀门和倒流防止器。</w:t>
      </w:r>
    </w:p>
    <w:p>
      <w:pPr>
        <w:pStyle w:val="105"/>
        <w:spacing w:before="156" w:after="156"/>
      </w:pPr>
      <w:bookmarkStart w:id="64" w:name="_Toc148526817"/>
      <w:r>
        <w:rPr>
          <w:rFonts w:hint="eastAsia"/>
        </w:rPr>
        <w:t>水池</w:t>
      </w:r>
      <w:r>
        <w:t>（</w:t>
      </w:r>
      <w:r>
        <w:rPr>
          <w:rFonts w:hint="eastAsia"/>
        </w:rPr>
        <w:t>箱</w:t>
      </w:r>
      <w:r>
        <w:t>）</w:t>
      </w:r>
      <w:bookmarkEnd w:id="64"/>
    </w:p>
    <w:p>
      <w:pPr>
        <w:pStyle w:val="165"/>
      </w:pPr>
      <w:r>
        <w:rPr>
          <w:rFonts w:hint="eastAsia"/>
        </w:rPr>
        <w:t>水池（箱）设计应遵循GB 50015的有关规定。</w:t>
      </w:r>
    </w:p>
    <w:p>
      <w:pPr>
        <w:pStyle w:val="165"/>
      </w:pPr>
      <w:r>
        <w:rPr>
          <w:rFonts w:hint="eastAsia"/>
        </w:rPr>
        <w:t>新建水池（箱）应采用S30408不锈钢材质，其焊接材料应与水箱同材质，不锈钢焊缝应进行酸洗钝化等抗氧化处理，厂家制作、现场组装。矩形水箱壁厚和安装应符合国家现行标准图集02S101要求。</w:t>
      </w:r>
    </w:p>
    <w:p>
      <w:pPr>
        <w:pStyle w:val="165"/>
      </w:pPr>
      <w:r>
        <w:rPr>
          <w:rFonts w:hint="eastAsia"/>
        </w:rPr>
        <w:t>水池（箱）不宜毗邻电气用房，其上方不应有厕所、浴室、盥洗室、厨房、污水处理间、污水管道等。</w:t>
      </w:r>
    </w:p>
    <w:p>
      <w:pPr>
        <w:pStyle w:val="165"/>
      </w:pPr>
      <w:r>
        <w:rPr>
          <w:rFonts w:hint="eastAsia"/>
        </w:rPr>
        <w:t>水池（箱）设计还应遵循下列规定：</w:t>
      </w:r>
    </w:p>
    <w:p>
      <w:pPr>
        <w:pStyle w:val="132"/>
      </w:pPr>
      <w:r>
        <w:rPr>
          <w:rFonts w:hint="eastAsia"/>
        </w:rPr>
        <w:t>水池（箱）应设置在维护方便、通风良好的房间内；</w:t>
      </w:r>
    </w:p>
    <w:p>
      <w:pPr>
        <w:pStyle w:val="132"/>
      </w:pPr>
      <w:r>
        <w:rPr>
          <w:rFonts w:hint="eastAsia"/>
        </w:rPr>
        <w:t>平均水力停留时间不宜超过6小时；</w:t>
      </w:r>
    </w:p>
    <w:p>
      <w:pPr>
        <w:pStyle w:val="132"/>
      </w:pPr>
      <w:r>
        <w:rPr>
          <w:rFonts w:hint="eastAsia"/>
        </w:rPr>
        <w:t>水池（箱）的</w:t>
      </w:r>
      <w:r>
        <w:t>有效</w:t>
      </w:r>
      <w:r>
        <w:rPr>
          <w:rFonts w:hint="eastAsia"/>
        </w:rPr>
        <w:t>容积大于50</w:t>
      </w:r>
      <w:r>
        <w:t xml:space="preserve"> </w:t>
      </w:r>
      <w:r>
        <w:rPr>
          <w:rFonts w:hint="eastAsia"/>
        </w:rPr>
        <w:t>m</w:t>
      </w:r>
      <w:r>
        <w:rPr>
          <w:rFonts w:hint="eastAsia"/>
          <w:vertAlign w:val="superscript"/>
        </w:rPr>
        <w:t>3</w:t>
      </w:r>
      <w:r>
        <w:rPr>
          <w:rFonts w:hint="eastAsia"/>
        </w:rPr>
        <w:t>时，应分为容积基本相等的两个独立运行</w:t>
      </w:r>
      <w:r>
        <w:t>的水箱</w:t>
      </w:r>
      <w:r>
        <w:rPr>
          <w:rFonts w:hint="eastAsia"/>
        </w:rPr>
        <w:t>；当水池（箱）容积大于800 m</w:t>
      </w:r>
      <w:r>
        <w:rPr>
          <w:rFonts w:hint="eastAsia"/>
          <w:vertAlign w:val="superscript"/>
        </w:rPr>
        <w:t>3</w:t>
      </w:r>
      <w:r>
        <w:rPr>
          <w:rFonts w:hint="eastAsia"/>
        </w:rPr>
        <w:t>时，应分为容积基本相等的四个独立运行</w:t>
      </w:r>
      <w:r>
        <w:t>的水箱</w:t>
      </w:r>
      <w:r>
        <w:rPr>
          <w:rFonts w:hint="eastAsia"/>
        </w:rPr>
        <w:t>；</w:t>
      </w:r>
    </w:p>
    <w:p>
      <w:pPr>
        <w:pStyle w:val="132"/>
      </w:pPr>
      <w:r>
        <w:rPr>
          <w:rFonts w:hint="eastAsia"/>
        </w:rPr>
        <w:t>水池（箱）的顶部</w:t>
      </w:r>
      <w:r>
        <w:t>对角</w:t>
      </w:r>
      <w:r>
        <w:rPr>
          <w:rFonts w:hint="eastAsia"/>
        </w:rPr>
        <w:t>应设置不少于两个检修人孔。</w:t>
      </w:r>
    </w:p>
    <w:p>
      <w:pPr>
        <w:pStyle w:val="165"/>
      </w:pPr>
      <w:r>
        <w:rPr>
          <w:rFonts w:hint="eastAsia"/>
        </w:rPr>
        <w:t>水池（箱）应设进水管、出水管、溢流管、泄水管、导流板、通气口、人孔，并应符合下列规定：</w:t>
      </w:r>
    </w:p>
    <w:p>
      <w:pPr>
        <w:pStyle w:val="132"/>
      </w:pPr>
      <w:r>
        <w:rPr>
          <w:rFonts w:hint="eastAsia"/>
        </w:rPr>
        <w:t>水池（箱）的进、出水管宜分别设置在不同侧，并应采取防止短流的措施。进水管管径应按平均小时流量计算；</w:t>
      </w:r>
    </w:p>
    <w:p>
      <w:pPr>
        <w:pStyle w:val="132"/>
      </w:pPr>
      <w:r>
        <w:rPr>
          <w:rFonts w:hint="eastAsia"/>
        </w:rPr>
        <w:t>水池（箱）进水设施宜选用具有实现池内水周期循环功能及具有水力控制及电动控制功能的液位控制装置；</w:t>
      </w:r>
    </w:p>
    <w:p>
      <w:pPr>
        <w:pStyle w:val="132"/>
      </w:pPr>
      <w:r>
        <w:rPr>
          <w:rFonts w:hint="eastAsia"/>
        </w:rPr>
        <w:t>水池（箱）应设置溢流管。水箱溢流管的直径应大于进水管直径；管口上沿距水箱顶部应不小于0.1米。溢流管出口应设置耐腐蚀性能不低于S31603材质的不锈钢网，网孔宜为14～18目。溢流管不应接入污水井（管）；</w:t>
      </w:r>
    </w:p>
    <w:p>
      <w:pPr>
        <w:pStyle w:val="132"/>
      </w:pPr>
      <w:r>
        <w:rPr>
          <w:rFonts w:hint="eastAsia"/>
        </w:rPr>
        <w:t>泄水管应设在水池（箱）底部，管径不应小于DN50，且排空时间不宜超过3小时。水池（箱）底部宜有坡度，并坡向泄水管或集水坑。泄水管与排水系统不得直接连接并应有不小于0.2</w:t>
      </w:r>
      <w:r>
        <w:t xml:space="preserve"> </w:t>
      </w:r>
      <w:r>
        <w:rPr>
          <w:rFonts w:hint="eastAsia"/>
        </w:rPr>
        <w:t>m的空气间隙隔断；</w:t>
      </w:r>
    </w:p>
    <w:p>
      <w:pPr>
        <w:pStyle w:val="132"/>
      </w:pPr>
      <w:r>
        <w:rPr>
          <w:rFonts w:hint="eastAsia"/>
        </w:rPr>
        <w:t>水池（箱）可能存在死水区时，应设置导流板，导流板的长度应大于水池长度的3/4，导流板的设置应充分考虑水池（箱）的维护管理操作空间的需要；</w:t>
      </w:r>
    </w:p>
    <w:p>
      <w:pPr>
        <w:pStyle w:val="132"/>
      </w:pPr>
      <w:r>
        <w:rPr>
          <w:rFonts w:hint="eastAsia"/>
        </w:rPr>
        <w:t>水池（箱）位于室外时，通风换气装置的进气管口距水池（箱）顶上表面不得低于0.5</w:t>
      </w:r>
      <w:r>
        <w:t xml:space="preserve"> </w:t>
      </w:r>
      <w:r>
        <w:rPr>
          <w:rFonts w:hint="eastAsia"/>
        </w:rPr>
        <w:t>m，出气管口距水池（箱）顶上表面不得低于1.5</w:t>
      </w:r>
      <w:r>
        <w:t xml:space="preserve"> </w:t>
      </w:r>
      <w:r>
        <w:rPr>
          <w:rFonts w:hint="eastAsia"/>
        </w:rPr>
        <w:t>m；进、出气管均应设置呼吸器，呼吸器应采用S31603不锈钢制作，内置卫生级抑菌滤芯。水池（箱）位于室内时，应根据现场空间情况，尽可能提高进气管、出气管管口的高度，并保持出气管口高于进气管口。</w:t>
      </w:r>
    </w:p>
    <w:p>
      <w:pPr>
        <w:pStyle w:val="165"/>
      </w:pPr>
      <w:r>
        <w:rPr>
          <w:rFonts w:hint="eastAsia"/>
        </w:rPr>
        <w:t>水池（箱）应设置人孔，圆型人孔直径不得小于0.7</w:t>
      </w:r>
      <w:r>
        <w:t xml:space="preserve"> </w:t>
      </w:r>
      <w:r>
        <w:rPr>
          <w:rFonts w:hint="eastAsia"/>
        </w:rPr>
        <w:t>m，方型人孔每边长不得小于0.6</w:t>
      </w:r>
      <w:r>
        <w:t xml:space="preserve"> </w:t>
      </w:r>
      <w:r>
        <w:rPr>
          <w:rFonts w:hint="eastAsia"/>
        </w:rPr>
        <w:t>m，人孔处应设S31603不锈钢爬梯，人孔保护高度不得小于0.1</w:t>
      </w:r>
      <w:r>
        <w:t xml:space="preserve"> </w:t>
      </w:r>
      <w:r>
        <w:rPr>
          <w:rFonts w:hint="eastAsia"/>
        </w:rPr>
        <w:t>m，并应设置S31603不锈钢密封孔盖并加锁防护。</w:t>
      </w:r>
    </w:p>
    <w:p>
      <w:pPr>
        <w:pStyle w:val="165"/>
      </w:pPr>
      <w:r>
        <w:rPr>
          <w:rFonts w:hint="eastAsia"/>
        </w:rPr>
        <w:t>水箱基础可采用混凝土条形梁，基础使用C20素混凝土浇筑，基础高度应不小于0.3米，宽度不小于0.2米，条状基础表面及侧面要求跟地面一样贴瓷砖，瓷砖颜色保持统一。</w:t>
      </w:r>
    </w:p>
    <w:p>
      <w:pPr>
        <w:pStyle w:val="165"/>
      </w:pPr>
      <w:r>
        <w:rPr>
          <w:rFonts w:hint="eastAsia"/>
        </w:rPr>
        <w:t>水箱外壁与建筑墙面或其它池壁之间的间距应满足装配或维修需要，净距一般不小于0.6米；设有人孔的池顶，顶板面与建筑板底的净空不小于0.8米。</w:t>
      </w:r>
    </w:p>
    <w:p>
      <w:pPr>
        <w:pStyle w:val="165"/>
      </w:pPr>
      <w:r>
        <w:rPr>
          <w:rFonts w:hint="eastAsia"/>
        </w:rPr>
        <w:t>设置水箱的建筑物内应设有排水坑，排水坑的大小和深度应满足水泵的安装要求，一般采用潜水泵抽水方式。</w:t>
      </w:r>
    </w:p>
    <w:p>
      <w:pPr>
        <w:pStyle w:val="165"/>
      </w:pPr>
      <w:r>
        <w:rPr>
          <w:rFonts w:hint="eastAsia"/>
        </w:rPr>
        <w:t>现状生活和消防合用的水池（箱），应进行提标改造：</w:t>
      </w:r>
    </w:p>
    <w:p>
      <w:pPr>
        <w:pStyle w:val="174"/>
        <w:numPr>
          <w:ilvl w:val="0"/>
          <w:numId w:val="48"/>
        </w:numPr>
      </w:pPr>
      <w:r>
        <w:rPr>
          <w:rFonts w:hint="eastAsia"/>
        </w:rPr>
        <w:t>生活水池（箱）应独立设置，并采取相应措施保证池(箱)内的水力流动条件；</w:t>
      </w:r>
    </w:p>
    <w:p>
      <w:pPr>
        <w:pStyle w:val="174"/>
      </w:pPr>
      <w:r>
        <w:rPr>
          <w:rFonts w:hint="eastAsia"/>
        </w:rPr>
        <w:t>具备条件的，应新建不锈钢生活水池（箱）；</w:t>
      </w:r>
    </w:p>
    <w:p>
      <w:pPr>
        <w:pStyle w:val="174"/>
      </w:pPr>
      <w:r>
        <w:rPr>
          <w:rFonts w:hint="eastAsia"/>
        </w:rPr>
        <w:t>不具备新建条件的，应对现状水池（箱）进行改造。应在水池内部设置分隔墙，将生活和消防用水分开，并应优先保证消防水池（箱）的有效容积。</w:t>
      </w:r>
    </w:p>
    <w:p>
      <w:pPr>
        <w:pStyle w:val="165"/>
      </w:pPr>
      <w:r>
        <w:rPr>
          <w:rFonts w:hint="eastAsia"/>
        </w:rPr>
        <w:t>改(扩)建水池（箱）材质应符合下列规定：</w:t>
      </w:r>
    </w:p>
    <w:p>
      <w:pPr>
        <w:pStyle w:val="174"/>
        <w:numPr>
          <w:ilvl w:val="0"/>
          <w:numId w:val="49"/>
        </w:numPr>
      </w:pPr>
      <w:r>
        <w:rPr>
          <w:rFonts w:hint="eastAsia"/>
        </w:rPr>
        <w:t>现状生活水池（箱）材质非S31603不锈钢的，改造应采用设置S31603不锈钢水箱。已建的S30408 不锈钢水箱经专业评估合格后，可继续使用；</w:t>
      </w:r>
    </w:p>
    <w:p>
      <w:pPr>
        <w:pStyle w:val="174"/>
      </w:pPr>
      <w:r>
        <w:rPr>
          <w:rFonts w:hint="eastAsia"/>
        </w:rPr>
        <w:t>采用不锈钢水池（箱）的，水池（箱）以及与水箱连接部件、配件应使用S31603材料，应由厂家制作、现场组装；</w:t>
      </w:r>
    </w:p>
    <w:p>
      <w:pPr>
        <w:pStyle w:val="174"/>
      </w:pPr>
      <w:r>
        <w:rPr>
          <w:rFonts w:hint="eastAsia"/>
        </w:rPr>
        <w:t>不具备设置不锈钢水池（箱）条件的，可选用白色食品级瓷砖修复，勾缝剂材料必须满足GB/T 17219 要求。</w:t>
      </w:r>
    </w:p>
    <w:p>
      <w:pPr>
        <w:pStyle w:val="165"/>
      </w:pPr>
      <w:r>
        <w:rPr>
          <w:rFonts w:hint="eastAsia"/>
        </w:rPr>
        <w:t>取消生活和消防供水合用的屋顶水箱的生活供水功能时，应于水箱进水管处设置倒流防止器，并加装远传水表计量。</w:t>
      </w:r>
    </w:p>
    <w:p>
      <w:pPr>
        <w:pStyle w:val="165"/>
      </w:pPr>
      <w:r>
        <w:rPr>
          <w:rFonts w:hint="eastAsia"/>
        </w:rPr>
        <w:t>取消屋顶水箱后，应复核低位水池（箱）进水管管径是否满足最大设计流量要求。在供往用户</w:t>
      </w:r>
    </w:p>
    <w:p>
      <w:pPr>
        <w:pStyle w:val="165"/>
      </w:pPr>
      <w:r>
        <w:rPr>
          <w:rFonts w:hint="eastAsia"/>
        </w:rPr>
        <w:t>公共管道的立管最高处设置自动排气阀，现状屋顶水箱生活出水管应与新建生活管道断开并封堵。</w:t>
      </w:r>
    </w:p>
    <w:p>
      <w:pPr>
        <w:pStyle w:val="105"/>
        <w:spacing w:before="156" w:after="156"/>
      </w:pPr>
      <w:bookmarkStart w:id="65" w:name="_Toc148526818"/>
      <w:r>
        <w:rPr>
          <w:rFonts w:hint="eastAsia"/>
        </w:rPr>
        <w:t>消毒</w:t>
      </w:r>
      <w:r>
        <w:t>与在线监测</w:t>
      </w:r>
      <w:bookmarkEnd w:id="65"/>
    </w:p>
    <w:p>
      <w:pPr>
        <w:pStyle w:val="165"/>
      </w:pPr>
      <w:r>
        <w:rPr>
          <w:rFonts w:hint="eastAsia"/>
        </w:rPr>
        <w:t>二次供水设施的水池（箱）应设置消毒设备，并宜同步安装。</w:t>
      </w:r>
    </w:p>
    <w:p>
      <w:pPr>
        <w:pStyle w:val="165"/>
      </w:pPr>
      <w:r>
        <w:rPr>
          <w:rFonts w:hint="eastAsia"/>
        </w:rPr>
        <w:t>消毒设备可选择臭氧发生器、紫外线消毒器、紫外光催化氧化设备和水箱自洁消毒器等，其设计、安装和使用应符合国家及行业现行标准、规范的规定。二次供水设施改造宜优先采用紫外线消毒器进行消毒。</w:t>
      </w:r>
    </w:p>
    <w:p>
      <w:pPr>
        <w:pStyle w:val="165"/>
      </w:pPr>
      <w:r>
        <w:rPr>
          <w:rFonts w:hint="eastAsia"/>
        </w:rPr>
        <w:t>采用臭氧消毒时，管网末梢水中臭氧残留浓度不应小于0.02</w:t>
      </w:r>
      <w:r>
        <w:t xml:space="preserve"> </w:t>
      </w:r>
      <w:r>
        <w:rPr>
          <w:rFonts w:hint="eastAsia"/>
        </w:rPr>
        <w:t>mg/L。臭氧发生器产生的臭氧应以负压方式投加到水中并应设置尾气消除装置。</w:t>
      </w:r>
    </w:p>
    <w:p>
      <w:pPr>
        <w:pStyle w:val="165"/>
      </w:pPr>
      <w:r>
        <w:rPr>
          <w:rFonts w:hint="eastAsia"/>
        </w:rPr>
        <w:t>紫外线消毒器应具备对紫外线照射强度的在线检测，并宜有自动清洗功能。</w:t>
      </w:r>
    </w:p>
    <w:p>
      <w:pPr>
        <w:pStyle w:val="165"/>
      </w:pPr>
      <w:r>
        <w:rPr>
          <w:rFonts w:hint="eastAsia"/>
        </w:rPr>
        <w:t>水箱自洁消毒器宜外置。</w:t>
      </w:r>
    </w:p>
    <w:p>
      <w:pPr>
        <w:pStyle w:val="165"/>
      </w:pPr>
      <w:r>
        <w:rPr>
          <w:rFonts w:hint="eastAsia"/>
        </w:rPr>
        <w:t>二次供水设施应具有与监控运行相匹配的压力、流量、液位等检测仪表。</w:t>
      </w:r>
    </w:p>
    <w:p>
      <w:pPr>
        <w:pStyle w:val="165"/>
      </w:pPr>
      <w:r>
        <w:rPr>
          <w:rFonts w:hint="eastAsia"/>
        </w:rPr>
        <w:t>二次供水设施宜设置余氯（总氯）、pH 值、浊度等水质在线检测仪表。</w:t>
      </w:r>
    </w:p>
    <w:p>
      <w:pPr>
        <w:pStyle w:val="105"/>
        <w:spacing w:before="156" w:after="156"/>
      </w:pPr>
      <w:bookmarkStart w:id="66" w:name="_Toc148526819"/>
      <w:r>
        <w:rPr>
          <w:rFonts w:hint="eastAsia"/>
        </w:rPr>
        <w:t>管路系统及附属设施</w:t>
      </w:r>
      <w:bookmarkEnd w:id="66"/>
    </w:p>
    <w:p>
      <w:pPr>
        <w:pStyle w:val="165"/>
      </w:pPr>
      <w:r>
        <w:rPr>
          <w:rFonts w:hint="eastAsia"/>
        </w:rPr>
        <w:t>室外埋地管网管径大于或等于100</w:t>
      </w:r>
      <w:r>
        <w:t xml:space="preserve"> </w:t>
      </w:r>
      <w:r>
        <w:rPr>
          <w:rFonts w:hint="eastAsia"/>
        </w:rPr>
        <w:t>mm时，应采用球墨铸铁管；管径小于100</w:t>
      </w:r>
      <w:r>
        <w:t xml:space="preserve"> </w:t>
      </w:r>
      <w:r>
        <w:rPr>
          <w:rFonts w:hint="eastAsia"/>
        </w:rPr>
        <w:t>mm时，应采用钢塑复合管、内衬不锈钢复合钢管及覆塑薄壁不锈钢管。明设管道宜采用S31603薄壁不锈钢管。</w:t>
      </w:r>
    </w:p>
    <w:p>
      <w:pPr>
        <w:pStyle w:val="165"/>
      </w:pPr>
      <w:r>
        <w:rPr>
          <w:rFonts w:hint="eastAsia"/>
        </w:rPr>
        <w:t>泵房内管道及管件宜采用S31603薄壁不锈钢。S31603不锈钢管宜采用法兰连接和沟槽卡箍式连接，不得采取现场焊接方式，厂家制作、现场组装。</w:t>
      </w:r>
    </w:p>
    <w:p>
      <w:pPr>
        <w:pStyle w:val="165"/>
      </w:pPr>
      <w:r>
        <w:rPr>
          <w:rFonts w:hint="eastAsia"/>
        </w:rPr>
        <w:t>阀门宜选用不锈钢硬密封闸阀、球阀。阀板应采用耐腐蚀性能不低于S30408不锈钢材料制作，阀杆应采用强度及耐腐蚀性能不低于20Cr13或6Cr18Ni9不锈钢材料制作。</w:t>
      </w:r>
    </w:p>
    <w:p>
      <w:pPr>
        <w:pStyle w:val="165"/>
      </w:pPr>
      <w:r>
        <w:rPr>
          <w:rFonts w:hint="eastAsia"/>
        </w:rPr>
        <w:t>每个泵房至少设置两条吸水管，吸水总管上靠主工作泵端应设置自动排气阀。</w:t>
      </w:r>
    </w:p>
    <w:p>
      <w:pPr>
        <w:pStyle w:val="165"/>
      </w:pPr>
      <w:r>
        <w:rPr>
          <w:rFonts w:hint="eastAsia"/>
        </w:rPr>
        <w:t>每台水泵的出水管上，应装设压力表、防倒流装置和阀门，必要时应设置水锤消除装置。</w:t>
      </w:r>
    </w:p>
    <w:p>
      <w:pPr>
        <w:pStyle w:val="165"/>
      </w:pPr>
      <w:r>
        <w:rPr>
          <w:rFonts w:hint="eastAsia"/>
        </w:rPr>
        <w:t>水池进水总管应安装管段式电磁流量计或远传水表。</w:t>
      </w:r>
    </w:p>
    <w:p>
      <w:pPr>
        <w:pStyle w:val="165"/>
      </w:pPr>
      <w:r>
        <w:rPr>
          <w:rFonts w:hint="eastAsia"/>
        </w:rPr>
        <w:t>管路系统上应根据需要设置数据采集装置，并符合下列规定：</w:t>
      </w:r>
    </w:p>
    <w:p>
      <w:pPr>
        <w:pStyle w:val="174"/>
        <w:numPr>
          <w:ilvl w:val="0"/>
          <w:numId w:val="50"/>
        </w:numPr>
      </w:pPr>
      <w:r>
        <w:rPr>
          <w:rFonts w:hint="eastAsia"/>
        </w:rPr>
        <w:t>水泵出水总管上应设置压力变送器、多功能电量监测仪表等数据采集装置；</w:t>
      </w:r>
    </w:p>
    <w:p>
      <w:pPr>
        <w:pStyle w:val="174"/>
      </w:pPr>
      <w:r>
        <w:rPr>
          <w:rFonts w:hint="eastAsia"/>
        </w:rPr>
        <w:t>需设置水质在线仪表的，应在水池出水总管上设置消毒剂余量、PH 及浊度等在线数据采集装置；</w:t>
      </w:r>
    </w:p>
    <w:p>
      <w:pPr>
        <w:pStyle w:val="174"/>
      </w:pPr>
      <w:r>
        <w:rPr>
          <w:rFonts w:hint="eastAsia"/>
        </w:rPr>
        <w:t>监测仪表应具有现场显示功能，并可实现数据的实时采集和远程传输。数据根据实际需求，实时或间隔性传输至二次供水智能管理系统。</w:t>
      </w:r>
    </w:p>
    <w:p>
      <w:pPr>
        <w:pStyle w:val="165"/>
      </w:pPr>
      <w:r>
        <w:rPr>
          <w:rFonts w:hint="eastAsia"/>
        </w:rPr>
        <w:t>水质在线监测设备应综合考虑二次供水设施周边市政管网状况、所处位置、建设年代、供水规</w:t>
      </w:r>
    </w:p>
    <w:p>
      <w:pPr>
        <w:pStyle w:val="165"/>
        <w:numPr>
          <w:ilvl w:val="3"/>
          <w:numId w:val="0"/>
        </w:numPr>
      </w:pPr>
      <w:r>
        <w:rPr>
          <w:rFonts w:hint="eastAsia"/>
        </w:rPr>
        <w:t>模、管材、流速、进水水质等，并根据“环保经济、科学合理、安全可靠、可持续发展”的原则设置。</w:t>
      </w:r>
    </w:p>
    <w:p>
      <w:pPr>
        <w:pStyle w:val="165"/>
      </w:pPr>
      <w:r>
        <w:rPr>
          <w:rFonts w:hint="eastAsia"/>
        </w:rPr>
        <w:t>水质在线监测设备的安装宜按照区域内小区数量 10%-15%的比例有代表性地布置，水厂供水分界线、管网末梢以及管网水流速偏低区域应提高布置比例。</w:t>
      </w:r>
    </w:p>
    <w:p>
      <w:pPr>
        <w:pStyle w:val="165"/>
      </w:pPr>
      <w:r>
        <w:rPr>
          <w:rFonts w:hint="eastAsia"/>
        </w:rPr>
        <w:t>水池（箱）进水总管应安装电动阀门。</w:t>
      </w:r>
    </w:p>
    <w:p>
      <w:pPr>
        <w:pStyle w:val="165"/>
      </w:pPr>
      <w:r>
        <w:rPr>
          <w:rFonts w:hint="eastAsia"/>
        </w:rPr>
        <w:t>应采用多功能电量监测仪表，统计泵房内所有设备耗电量。</w:t>
      </w:r>
    </w:p>
    <w:p>
      <w:pPr>
        <w:pStyle w:val="165"/>
      </w:pPr>
      <w:r>
        <w:rPr>
          <w:rFonts w:hint="eastAsia"/>
        </w:rPr>
        <w:t>供水管道、阀门、分支应按照系统分区设置明显的区分标识和水流方向标识，标识间隔不宜大于 3m。</w:t>
      </w:r>
    </w:p>
    <w:p>
      <w:pPr>
        <w:pStyle w:val="165"/>
      </w:pPr>
      <w:r>
        <w:rPr>
          <w:rFonts w:hint="eastAsia"/>
        </w:rPr>
        <w:t>管道支架及螺栓等与管道直接连接的附配件应与管道材质保持一致，避免因材质不一致导致电离反应；当不能做到材质一致的，应设置胶垫、套管等加以隔离。</w:t>
      </w:r>
    </w:p>
    <w:p>
      <w:pPr>
        <w:pStyle w:val="165"/>
      </w:pPr>
      <w:r>
        <w:rPr>
          <w:rFonts w:hint="eastAsia"/>
        </w:rPr>
        <w:t>二次供水系统采用的管材、配件应符合现行产品标准的要求。</w:t>
      </w:r>
    </w:p>
    <w:p>
      <w:pPr>
        <w:pStyle w:val="165"/>
      </w:pPr>
      <w:r>
        <w:rPr>
          <w:rFonts w:hint="eastAsia"/>
        </w:rPr>
        <w:t>严禁使用国家明令淘汰的产品。</w:t>
      </w:r>
    </w:p>
    <w:p>
      <w:pPr>
        <w:pStyle w:val="165"/>
      </w:pPr>
      <w:r>
        <w:rPr>
          <w:rFonts w:hint="eastAsia"/>
        </w:rPr>
        <w:t>二次供水管道及附件应采用耐腐蚀、寿命长、水头损失小、安装方便、便于维护、卫生环保的产品，并应符合相应的压力等级。</w:t>
      </w:r>
    </w:p>
    <w:p>
      <w:pPr>
        <w:pStyle w:val="165"/>
      </w:pPr>
      <w:r>
        <w:rPr>
          <w:rFonts w:hint="eastAsia"/>
        </w:rPr>
        <w:t>新建工程及有条件的改（扩）建工程的配水立管或表后立管应敷设于建筑物内楼梯、管井、设备房等公共部位，因条件限制需敷设于建筑物外立面时，应有防晒隔热措施。当安装于公共管道坚井时每层应设检修门，并预留足够的维修空间。</w:t>
      </w:r>
    </w:p>
    <w:p>
      <w:pPr>
        <w:pStyle w:val="165"/>
      </w:pPr>
      <w:r>
        <w:rPr>
          <w:rFonts w:hint="eastAsia"/>
        </w:rPr>
        <w:t>给水管道及附件中所用橡胶密封圈应为食品级橡胶材料，其卫生指标应符合GB 4806.1的规定。</w:t>
      </w:r>
    </w:p>
    <w:p>
      <w:pPr>
        <w:pStyle w:val="165"/>
      </w:pPr>
      <w:r>
        <w:rPr>
          <w:rFonts w:hint="eastAsia"/>
        </w:rPr>
        <w:t>阀门井盖的设计应符合国家</w:t>
      </w:r>
      <w:r>
        <w:t>有关</w:t>
      </w:r>
      <w:r>
        <w:rPr>
          <w:rFonts w:hint="eastAsia"/>
        </w:rPr>
        <w:t>规定。</w:t>
      </w:r>
    </w:p>
    <w:p>
      <w:pPr>
        <w:pStyle w:val="165"/>
      </w:pPr>
      <w:r>
        <w:rPr>
          <w:rFonts w:hint="eastAsia"/>
        </w:rPr>
        <w:t>阀门井盖应标明“公司名称”、“供水”及“电话”等字样， 并根椐道路的设计载荷等级选择井盖的强度级别。井盖一般采用圆形球墨铸铁井盖，检查 口Φ600，井盖配套防坠网。</w:t>
      </w:r>
    </w:p>
    <w:p>
      <w:pPr>
        <w:pStyle w:val="105"/>
        <w:spacing w:before="156" w:after="156"/>
      </w:pPr>
      <w:bookmarkStart w:id="67" w:name="_Toc148526820"/>
      <w:r>
        <w:rPr>
          <w:rFonts w:hint="eastAsia"/>
        </w:rPr>
        <w:t>流量计及水表</w:t>
      </w:r>
      <w:bookmarkEnd w:id="67"/>
    </w:p>
    <w:p>
      <w:pPr>
        <w:pStyle w:val="165"/>
      </w:pPr>
      <w:r>
        <w:rPr>
          <w:rFonts w:hint="eastAsia"/>
        </w:rPr>
        <w:t>新装DN50mm及以上的水表宜采用电磁水表。DN300 以上（含 DN300）宜选用电磁流量计。</w:t>
      </w:r>
    </w:p>
    <w:p>
      <w:pPr>
        <w:pStyle w:val="165"/>
      </w:pPr>
      <w:r>
        <w:rPr>
          <w:rFonts w:hint="eastAsia"/>
        </w:rPr>
        <w:t>居民用户水表口径原则采用DN15或DN20；</w:t>
      </w:r>
    </w:p>
    <w:p>
      <w:pPr>
        <w:pStyle w:val="165"/>
      </w:pPr>
      <w:r>
        <w:rPr>
          <w:rFonts w:hint="eastAsia"/>
        </w:rPr>
        <w:t>根据用水性质、水量、时变化系数和水表设置环境，选择相应种类及口径的水表， 逐步推广使用智能水表。</w:t>
      </w:r>
    </w:p>
    <w:p>
      <w:pPr>
        <w:pStyle w:val="165"/>
      </w:pPr>
      <w:r>
        <w:rPr>
          <w:rFonts w:hint="eastAsia"/>
        </w:rPr>
        <w:t>特殊位置的水表井可埋地设置，井内应设置渗水孔。</w:t>
      </w:r>
    </w:p>
    <w:p>
      <w:pPr>
        <w:pStyle w:val="165"/>
      </w:pPr>
      <w:r>
        <w:rPr>
          <w:rFonts w:hint="eastAsia"/>
        </w:rPr>
        <w:t>不同给水系统应独立安装市政给水总表计量。</w:t>
      </w:r>
    </w:p>
    <w:p>
      <w:pPr>
        <w:pStyle w:val="165"/>
      </w:pPr>
      <w:r>
        <w:rPr>
          <w:rFonts w:hint="eastAsia"/>
        </w:rPr>
        <w:t>新建、扩建、改建的建筑应采用具有远传功能的智能水表。</w:t>
      </w:r>
    </w:p>
    <w:p>
      <w:pPr>
        <w:pStyle w:val="165"/>
      </w:pPr>
      <w:r>
        <w:rPr>
          <w:rFonts w:hint="eastAsia"/>
        </w:rPr>
        <w:t>水表安装位置应以准确计量、便于抄表、不易损坏及方便维护管理为原则。</w:t>
      </w:r>
    </w:p>
    <w:p>
      <w:pPr>
        <w:pStyle w:val="165"/>
      </w:pPr>
      <w:r>
        <w:rPr>
          <w:rFonts w:hint="eastAsia"/>
        </w:rPr>
        <w:t>高层建筑入户水表应设置于管道井（水表井）中，必须符合安全抄表及检修的原则。</w:t>
      </w:r>
    </w:p>
    <w:p>
      <w:pPr>
        <w:pStyle w:val="165"/>
      </w:pPr>
      <w:r>
        <w:rPr>
          <w:rFonts w:hint="eastAsia"/>
        </w:rPr>
        <w:t>建筑消防水池（箱）由生活给水系统补水时，应在水池（箱）进水管设置用户水表。</w:t>
      </w:r>
    </w:p>
    <w:p>
      <w:pPr>
        <w:pStyle w:val="165"/>
      </w:pPr>
      <w:r>
        <w:rPr>
          <w:rFonts w:hint="eastAsia"/>
        </w:rPr>
        <w:t>注册水表应在建筑物的首层或给水管道井（水表井）内集中设置。</w:t>
      </w:r>
    </w:p>
    <w:p>
      <w:pPr>
        <w:pStyle w:val="165"/>
      </w:pPr>
      <w:r>
        <w:rPr>
          <w:rFonts w:hint="eastAsia"/>
        </w:rPr>
        <w:t>新建、改建居民住宅各公共卫生清洁用水、消防用水、居住小区绿化浇灌等非居民生活用水需从生活给水管取水时应单独设置用户水表。</w:t>
      </w:r>
    </w:p>
    <w:p>
      <w:pPr>
        <w:pStyle w:val="165"/>
      </w:pPr>
      <w:r>
        <w:rPr>
          <w:rFonts w:hint="eastAsia"/>
        </w:rPr>
        <w:t>入户水表组须由（不仅限于）下列附件依次串联组成：表前阀门、表前直管段、水表、表后直管段、止回阀、表后阀门。</w:t>
      </w:r>
    </w:p>
    <w:p>
      <w:pPr>
        <w:pStyle w:val="165"/>
      </w:pPr>
      <w:r>
        <w:rPr>
          <w:rFonts w:hint="eastAsia"/>
        </w:rPr>
        <w:t>表前阀门前宜安装伸缩节（活接）。</w:t>
      </w:r>
    </w:p>
    <w:p>
      <w:pPr>
        <w:pStyle w:val="165"/>
      </w:pPr>
      <w:r>
        <w:rPr>
          <w:rFonts w:hint="eastAsia"/>
        </w:rPr>
        <w:t>水表的表前直管段和表后直管段的长度，应符合表4的要求，若水表生产厂家有注明也可按厂家要求适当调整。</w:t>
      </w:r>
    </w:p>
    <w:p>
      <w:pPr>
        <w:pStyle w:val="112"/>
        <w:spacing w:before="156" w:after="156"/>
      </w:pPr>
      <w:r>
        <w:rPr>
          <w:rFonts w:hint="eastAsia"/>
        </w:rPr>
        <w:t>水表</w:t>
      </w:r>
      <w:r>
        <w:t>前、后直管段长度的要求</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33"/>
        <w:gridCol w:w="1323"/>
        <w:gridCol w:w="1324"/>
        <w:gridCol w:w="1324"/>
        <w:gridCol w:w="1324"/>
        <w:gridCol w:w="1324"/>
        <w:gridCol w:w="13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765" w:type="pct"/>
            <w:tcBorders>
              <w:top w:val="single" w:color="auto" w:sz="8" w:space="0"/>
              <w:bottom w:val="single" w:color="auto" w:sz="8" w:space="0"/>
            </w:tcBorders>
            <w:shd w:val="clear" w:color="auto" w:fill="auto"/>
            <w:vAlign w:val="center"/>
          </w:tcPr>
          <w:p>
            <w:pPr>
              <w:pStyle w:val="178"/>
            </w:pPr>
            <w:r>
              <w:rPr>
                <w:rFonts w:hint="eastAsia"/>
              </w:rPr>
              <w:t>水表</w:t>
            </w:r>
            <w:r>
              <w:t>口径（</w:t>
            </w:r>
            <w:r>
              <w:rPr>
                <w:rFonts w:hint="eastAsia"/>
              </w:rPr>
              <w:t>m</w:t>
            </w:r>
            <w:r>
              <w:t>m）</w:t>
            </w:r>
          </w:p>
        </w:tc>
        <w:tc>
          <w:tcPr>
            <w:tcW w:w="706" w:type="pct"/>
            <w:tcBorders>
              <w:top w:val="single" w:color="auto" w:sz="8" w:space="0"/>
              <w:bottom w:val="single" w:color="auto" w:sz="8" w:space="0"/>
            </w:tcBorders>
            <w:shd w:val="clear" w:color="auto" w:fill="auto"/>
            <w:vAlign w:val="center"/>
          </w:tcPr>
          <w:p>
            <w:pPr>
              <w:pStyle w:val="178"/>
            </w:pPr>
            <w:r>
              <w:rPr>
                <w:rFonts w:hint="eastAsia"/>
              </w:rPr>
              <w:t>40</w:t>
            </w:r>
          </w:p>
        </w:tc>
        <w:tc>
          <w:tcPr>
            <w:tcW w:w="706" w:type="pct"/>
            <w:tcBorders>
              <w:top w:val="single" w:color="auto" w:sz="8" w:space="0"/>
              <w:bottom w:val="single" w:color="auto" w:sz="8" w:space="0"/>
            </w:tcBorders>
            <w:shd w:val="clear" w:color="auto" w:fill="auto"/>
            <w:vAlign w:val="center"/>
          </w:tcPr>
          <w:p>
            <w:pPr>
              <w:pStyle w:val="178"/>
            </w:pPr>
            <w:r>
              <w:rPr>
                <w:rFonts w:hint="eastAsia"/>
              </w:rPr>
              <w:t>50</w:t>
            </w:r>
          </w:p>
        </w:tc>
        <w:tc>
          <w:tcPr>
            <w:tcW w:w="706" w:type="pct"/>
            <w:tcBorders>
              <w:top w:val="single" w:color="auto" w:sz="8" w:space="0"/>
              <w:bottom w:val="single" w:color="auto" w:sz="8" w:space="0"/>
            </w:tcBorders>
            <w:shd w:val="clear" w:color="auto" w:fill="auto"/>
            <w:vAlign w:val="center"/>
          </w:tcPr>
          <w:p>
            <w:pPr>
              <w:pStyle w:val="178"/>
            </w:pPr>
            <w:r>
              <w:rPr>
                <w:rFonts w:hint="eastAsia"/>
              </w:rPr>
              <w:t>80</w:t>
            </w:r>
          </w:p>
        </w:tc>
        <w:tc>
          <w:tcPr>
            <w:tcW w:w="706" w:type="pct"/>
            <w:tcBorders>
              <w:top w:val="single" w:color="auto" w:sz="8" w:space="0"/>
              <w:bottom w:val="single" w:color="auto" w:sz="8" w:space="0"/>
            </w:tcBorders>
            <w:shd w:val="clear" w:color="auto" w:fill="auto"/>
            <w:vAlign w:val="center"/>
          </w:tcPr>
          <w:p>
            <w:pPr>
              <w:pStyle w:val="178"/>
            </w:pPr>
            <w:r>
              <w:rPr>
                <w:rFonts w:hint="eastAsia"/>
              </w:rPr>
              <w:t>100</w:t>
            </w:r>
          </w:p>
        </w:tc>
        <w:tc>
          <w:tcPr>
            <w:tcW w:w="706" w:type="pct"/>
            <w:tcBorders>
              <w:top w:val="single" w:color="auto" w:sz="8" w:space="0"/>
              <w:bottom w:val="single" w:color="auto" w:sz="8" w:space="0"/>
            </w:tcBorders>
            <w:shd w:val="clear" w:color="auto" w:fill="auto"/>
            <w:vAlign w:val="center"/>
          </w:tcPr>
          <w:p>
            <w:pPr>
              <w:pStyle w:val="178"/>
            </w:pPr>
            <w:r>
              <w:rPr>
                <w:rFonts w:hint="eastAsia"/>
              </w:rPr>
              <w:t>150</w:t>
            </w:r>
          </w:p>
        </w:tc>
        <w:tc>
          <w:tcPr>
            <w:tcW w:w="706" w:type="pct"/>
            <w:tcBorders>
              <w:top w:val="single" w:color="auto" w:sz="8" w:space="0"/>
              <w:bottom w:val="single" w:color="auto" w:sz="8" w:space="0"/>
            </w:tcBorders>
            <w:shd w:val="clear" w:color="auto" w:fill="auto"/>
            <w:vAlign w:val="center"/>
          </w:tcPr>
          <w:p>
            <w:pPr>
              <w:pStyle w:val="178"/>
            </w:pPr>
            <w:r>
              <w:rPr>
                <w:rFonts w:hint="eastAsia"/>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5" w:type="pct"/>
            <w:tcBorders>
              <w:top w:val="single" w:color="auto" w:sz="8" w:space="0"/>
            </w:tcBorders>
            <w:shd w:val="clear" w:color="auto" w:fill="auto"/>
            <w:vAlign w:val="center"/>
          </w:tcPr>
          <w:p>
            <w:pPr>
              <w:pStyle w:val="178"/>
            </w:pPr>
            <w:r>
              <w:rPr>
                <w:rFonts w:hint="eastAsia"/>
              </w:rPr>
              <w:t>水表</w:t>
            </w:r>
            <w:r>
              <w:t>前直管段</w:t>
            </w:r>
          </w:p>
          <w:p>
            <w:pPr>
              <w:pStyle w:val="178"/>
            </w:pPr>
            <w:r>
              <w:rPr>
                <w:rFonts w:hint="eastAsia"/>
              </w:rPr>
              <w:t>（m）</w:t>
            </w:r>
          </w:p>
        </w:tc>
        <w:tc>
          <w:tcPr>
            <w:tcW w:w="706" w:type="pct"/>
            <w:tcBorders>
              <w:top w:val="single" w:color="auto" w:sz="8" w:space="0"/>
            </w:tcBorders>
            <w:shd w:val="clear" w:color="auto" w:fill="auto"/>
            <w:vAlign w:val="center"/>
          </w:tcPr>
          <w:p>
            <w:pPr>
              <w:pStyle w:val="178"/>
            </w:pPr>
            <w:r>
              <w:rPr>
                <w:rFonts w:hint="eastAsia"/>
              </w:rPr>
              <w:t>0.4</w:t>
            </w:r>
          </w:p>
        </w:tc>
        <w:tc>
          <w:tcPr>
            <w:tcW w:w="706" w:type="pct"/>
            <w:tcBorders>
              <w:top w:val="single" w:color="auto" w:sz="8" w:space="0"/>
            </w:tcBorders>
            <w:shd w:val="clear" w:color="auto" w:fill="auto"/>
            <w:vAlign w:val="center"/>
          </w:tcPr>
          <w:p>
            <w:pPr>
              <w:pStyle w:val="178"/>
            </w:pPr>
            <w:r>
              <w:rPr>
                <w:rFonts w:hint="eastAsia"/>
              </w:rPr>
              <w:t>0.5</w:t>
            </w:r>
          </w:p>
        </w:tc>
        <w:tc>
          <w:tcPr>
            <w:tcW w:w="706" w:type="pct"/>
            <w:tcBorders>
              <w:top w:val="single" w:color="auto" w:sz="8" w:space="0"/>
            </w:tcBorders>
            <w:shd w:val="clear" w:color="auto" w:fill="auto"/>
            <w:vAlign w:val="center"/>
          </w:tcPr>
          <w:p>
            <w:pPr>
              <w:pStyle w:val="178"/>
            </w:pPr>
            <w:r>
              <w:rPr>
                <w:rFonts w:hint="eastAsia"/>
              </w:rPr>
              <w:t>0.8</w:t>
            </w:r>
          </w:p>
        </w:tc>
        <w:tc>
          <w:tcPr>
            <w:tcW w:w="706" w:type="pct"/>
            <w:tcBorders>
              <w:top w:val="single" w:color="auto" w:sz="8" w:space="0"/>
            </w:tcBorders>
            <w:shd w:val="clear" w:color="auto" w:fill="auto"/>
            <w:vAlign w:val="center"/>
          </w:tcPr>
          <w:p>
            <w:pPr>
              <w:pStyle w:val="178"/>
            </w:pPr>
            <w:r>
              <w:rPr>
                <w:rFonts w:hint="eastAsia"/>
              </w:rPr>
              <w:t>1.0</w:t>
            </w:r>
          </w:p>
        </w:tc>
        <w:tc>
          <w:tcPr>
            <w:tcW w:w="706" w:type="pct"/>
            <w:tcBorders>
              <w:top w:val="single" w:color="auto" w:sz="8" w:space="0"/>
            </w:tcBorders>
            <w:shd w:val="clear" w:color="auto" w:fill="auto"/>
            <w:vAlign w:val="center"/>
          </w:tcPr>
          <w:p>
            <w:pPr>
              <w:pStyle w:val="178"/>
            </w:pPr>
            <w:r>
              <w:rPr>
                <w:rFonts w:hint="eastAsia"/>
              </w:rPr>
              <w:t>1.5</w:t>
            </w:r>
          </w:p>
        </w:tc>
        <w:tc>
          <w:tcPr>
            <w:tcW w:w="706" w:type="pct"/>
            <w:tcBorders>
              <w:top w:val="single" w:color="auto" w:sz="8" w:space="0"/>
            </w:tcBorders>
            <w:shd w:val="clear" w:color="auto" w:fill="auto"/>
            <w:vAlign w:val="center"/>
          </w:tcPr>
          <w:p>
            <w:pPr>
              <w:pStyle w:val="178"/>
            </w:pPr>
            <w:r>
              <w:rPr>
                <w:rFonts w:hint="eastAsia"/>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5" w:type="pct"/>
            <w:shd w:val="clear" w:color="auto" w:fill="auto"/>
            <w:vAlign w:val="center"/>
          </w:tcPr>
          <w:p>
            <w:pPr>
              <w:pStyle w:val="178"/>
            </w:pPr>
            <w:r>
              <w:rPr>
                <w:rFonts w:hint="eastAsia"/>
              </w:rPr>
              <w:t>水表后</w:t>
            </w:r>
            <w:r>
              <w:t>直管段</w:t>
            </w:r>
          </w:p>
          <w:p>
            <w:pPr>
              <w:pStyle w:val="178"/>
            </w:pPr>
            <w:r>
              <w:rPr>
                <w:rFonts w:hint="eastAsia"/>
              </w:rPr>
              <w:t>（m）</w:t>
            </w:r>
          </w:p>
        </w:tc>
        <w:tc>
          <w:tcPr>
            <w:tcW w:w="706" w:type="pct"/>
            <w:shd w:val="clear" w:color="auto" w:fill="auto"/>
            <w:vAlign w:val="center"/>
          </w:tcPr>
          <w:p>
            <w:pPr>
              <w:pStyle w:val="178"/>
            </w:pPr>
            <w:r>
              <w:rPr>
                <w:rFonts w:hint="eastAsia"/>
              </w:rPr>
              <w:t>0.2</w:t>
            </w:r>
          </w:p>
        </w:tc>
        <w:tc>
          <w:tcPr>
            <w:tcW w:w="706" w:type="pct"/>
            <w:shd w:val="clear" w:color="auto" w:fill="auto"/>
            <w:vAlign w:val="center"/>
          </w:tcPr>
          <w:p>
            <w:pPr>
              <w:pStyle w:val="178"/>
            </w:pPr>
            <w:r>
              <w:rPr>
                <w:rFonts w:hint="eastAsia"/>
              </w:rPr>
              <w:t>0.25</w:t>
            </w:r>
          </w:p>
        </w:tc>
        <w:tc>
          <w:tcPr>
            <w:tcW w:w="706" w:type="pct"/>
            <w:shd w:val="clear" w:color="auto" w:fill="auto"/>
            <w:vAlign w:val="center"/>
          </w:tcPr>
          <w:p>
            <w:pPr>
              <w:pStyle w:val="178"/>
            </w:pPr>
            <w:r>
              <w:rPr>
                <w:rFonts w:hint="eastAsia"/>
              </w:rPr>
              <w:t>0.4</w:t>
            </w:r>
          </w:p>
        </w:tc>
        <w:tc>
          <w:tcPr>
            <w:tcW w:w="706" w:type="pct"/>
            <w:shd w:val="clear" w:color="auto" w:fill="auto"/>
            <w:vAlign w:val="center"/>
          </w:tcPr>
          <w:p>
            <w:pPr>
              <w:pStyle w:val="178"/>
            </w:pPr>
            <w:r>
              <w:rPr>
                <w:rFonts w:hint="eastAsia"/>
              </w:rPr>
              <w:t>0.5</w:t>
            </w:r>
          </w:p>
        </w:tc>
        <w:tc>
          <w:tcPr>
            <w:tcW w:w="706" w:type="pct"/>
            <w:shd w:val="clear" w:color="auto" w:fill="auto"/>
            <w:vAlign w:val="center"/>
          </w:tcPr>
          <w:p>
            <w:pPr>
              <w:pStyle w:val="178"/>
            </w:pPr>
            <w:r>
              <w:rPr>
                <w:rFonts w:hint="eastAsia"/>
              </w:rPr>
              <w:t>0.75</w:t>
            </w:r>
          </w:p>
        </w:tc>
        <w:tc>
          <w:tcPr>
            <w:tcW w:w="706" w:type="pct"/>
            <w:shd w:val="clear" w:color="auto" w:fill="auto"/>
            <w:vAlign w:val="center"/>
          </w:tcPr>
          <w:p>
            <w:pPr>
              <w:pStyle w:val="178"/>
            </w:pPr>
            <w:r>
              <w:rPr>
                <w:rFonts w:hint="eastAsia"/>
              </w:rPr>
              <w:t>1.0</w:t>
            </w:r>
          </w:p>
        </w:tc>
      </w:tr>
    </w:tbl>
    <w:p>
      <w:pPr>
        <w:pStyle w:val="165"/>
      </w:pPr>
      <w:r>
        <w:rPr>
          <w:rFonts w:hint="eastAsia"/>
        </w:rPr>
        <w:t>水表质量及技术要求应符合</w:t>
      </w:r>
      <w:r>
        <w:t>下列要求：</w:t>
      </w:r>
    </w:p>
    <w:p>
      <w:pPr>
        <w:pStyle w:val="132"/>
      </w:pPr>
      <w:r>
        <w:rPr>
          <w:rFonts w:hint="eastAsia"/>
        </w:rPr>
        <w:t>水表质量及技术要求应符合 GB/T 778.1要求；</w:t>
      </w:r>
    </w:p>
    <w:p>
      <w:pPr>
        <w:pStyle w:val="132"/>
      </w:pPr>
      <w:r>
        <w:rPr>
          <w:rFonts w:hint="eastAsia"/>
        </w:rPr>
        <w:t>生产厂家必须具有制造计量器具许可证（CNC）和生产许可证（XK）标志，水表涉水部件须取得符合国家生活饮用水卫生标准的证明；</w:t>
      </w:r>
    </w:p>
    <w:p>
      <w:pPr>
        <w:pStyle w:val="132"/>
      </w:pPr>
      <w:r>
        <w:rPr>
          <w:rFonts w:hint="eastAsia"/>
        </w:rPr>
        <w:t>水表材料应符合 GB/T 778.1；</w:t>
      </w:r>
    </w:p>
    <w:p>
      <w:pPr>
        <w:pStyle w:val="132"/>
      </w:pPr>
      <w:r>
        <w:rPr>
          <w:rFonts w:hint="eastAsia"/>
        </w:rPr>
        <w:t>水表在安装使用前必须经法定检定机构或计量行政部门授权的检定机构检定合格，并贴有强检合格证标志；</w:t>
      </w:r>
    </w:p>
    <w:p>
      <w:pPr>
        <w:pStyle w:val="165"/>
      </w:pPr>
      <w:r>
        <w:rPr>
          <w:rFonts w:hint="eastAsia"/>
        </w:rPr>
        <w:t>水表尺寸宜按表</w:t>
      </w:r>
      <w:r>
        <w:t>5</w:t>
      </w:r>
      <w:r>
        <w:rPr>
          <w:rFonts w:hint="eastAsia"/>
        </w:rPr>
        <w:t>新标准推荐尺寸选用。</w:t>
      </w:r>
    </w:p>
    <w:p>
      <w:pPr>
        <w:pStyle w:val="112"/>
        <w:spacing w:before="156" w:after="156"/>
      </w:pPr>
      <w:r>
        <w:rPr>
          <w:rFonts w:hint="eastAsia"/>
        </w:rPr>
        <w:t>水表</w:t>
      </w:r>
      <w:r>
        <w:t>新标准推荐尺寸</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6"/>
        <w:gridCol w:w="2336"/>
        <w:gridCol w:w="2336"/>
        <w:gridCol w:w="23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6" w:type="dxa"/>
            <w:tcBorders>
              <w:top w:val="single" w:color="auto" w:sz="8" w:space="0"/>
              <w:bottom w:val="single" w:color="auto" w:sz="8" w:space="0"/>
            </w:tcBorders>
            <w:shd w:val="clear" w:color="auto" w:fill="auto"/>
            <w:vAlign w:val="center"/>
          </w:tcPr>
          <w:p>
            <w:pPr>
              <w:pStyle w:val="178"/>
            </w:pPr>
            <w:r>
              <w:rPr>
                <w:rFonts w:hint="eastAsia"/>
              </w:rPr>
              <w:t>口径</w:t>
            </w:r>
          </w:p>
        </w:tc>
        <w:tc>
          <w:tcPr>
            <w:tcW w:w="2336" w:type="dxa"/>
            <w:tcBorders>
              <w:top w:val="single" w:color="auto" w:sz="8" w:space="0"/>
              <w:bottom w:val="single" w:color="auto" w:sz="8" w:space="0"/>
            </w:tcBorders>
            <w:shd w:val="clear" w:color="auto" w:fill="auto"/>
            <w:vAlign w:val="center"/>
          </w:tcPr>
          <w:p>
            <w:pPr>
              <w:pStyle w:val="178"/>
            </w:pPr>
            <w:r>
              <w:rPr>
                <w:rFonts w:hint="eastAsia"/>
              </w:rPr>
              <w:t>长</w:t>
            </w:r>
          </w:p>
        </w:tc>
        <w:tc>
          <w:tcPr>
            <w:tcW w:w="2336" w:type="dxa"/>
            <w:tcBorders>
              <w:top w:val="single" w:color="auto" w:sz="8" w:space="0"/>
              <w:bottom w:val="single" w:color="auto" w:sz="8" w:space="0"/>
            </w:tcBorders>
            <w:shd w:val="clear" w:color="auto" w:fill="auto"/>
            <w:vAlign w:val="center"/>
          </w:tcPr>
          <w:p>
            <w:pPr>
              <w:pStyle w:val="178"/>
            </w:pPr>
            <w:r>
              <w:rPr>
                <w:rFonts w:hint="eastAsia"/>
              </w:rPr>
              <w:t>宽</w:t>
            </w:r>
          </w:p>
        </w:tc>
        <w:tc>
          <w:tcPr>
            <w:tcW w:w="2336" w:type="dxa"/>
            <w:tcBorders>
              <w:top w:val="single" w:color="auto" w:sz="8" w:space="0"/>
              <w:bottom w:val="single" w:color="auto" w:sz="8" w:space="0"/>
            </w:tcBorders>
            <w:shd w:val="clear" w:color="auto" w:fill="auto"/>
            <w:vAlign w:val="center"/>
          </w:tcPr>
          <w:p>
            <w:pPr>
              <w:pStyle w:val="178"/>
            </w:pPr>
            <w:r>
              <w:rPr>
                <w:rFonts w:hint="eastAsia"/>
              </w:rPr>
              <w:t>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tcBorders>
              <w:top w:val="single" w:color="auto" w:sz="8" w:space="0"/>
            </w:tcBorders>
            <w:shd w:val="clear" w:color="auto" w:fill="auto"/>
            <w:vAlign w:val="center"/>
          </w:tcPr>
          <w:p>
            <w:pPr>
              <w:pStyle w:val="178"/>
            </w:pPr>
            <w:r>
              <w:rPr>
                <w:rFonts w:hint="eastAsia"/>
              </w:rPr>
              <w:t>1</w:t>
            </w:r>
            <w:r>
              <w:t>5</w:t>
            </w:r>
          </w:p>
        </w:tc>
        <w:tc>
          <w:tcPr>
            <w:tcW w:w="2336" w:type="dxa"/>
            <w:tcBorders>
              <w:top w:val="single" w:color="auto" w:sz="8" w:space="0"/>
            </w:tcBorders>
            <w:shd w:val="clear" w:color="auto" w:fill="auto"/>
            <w:vAlign w:val="center"/>
          </w:tcPr>
          <w:p>
            <w:pPr>
              <w:pStyle w:val="178"/>
            </w:pPr>
            <w:r>
              <w:rPr>
                <w:rFonts w:hint="eastAsia"/>
              </w:rPr>
              <w:t>165</w:t>
            </w:r>
          </w:p>
        </w:tc>
        <w:tc>
          <w:tcPr>
            <w:tcW w:w="2336" w:type="dxa"/>
            <w:tcBorders>
              <w:top w:val="single" w:color="auto" w:sz="8" w:space="0"/>
            </w:tcBorders>
            <w:shd w:val="clear" w:color="auto" w:fill="auto"/>
            <w:vAlign w:val="center"/>
          </w:tcPr>
          <w:p>
            <w:pPr>
              <w:pStyle w:val="178"/>
            </w:pPr>
            <w:r>
              <w:rPr>
                <w:rFonts w:hint="eastAsia"/>
              </w:rPr>
              <w:t>98</w:t>
            </w:r>
          </w:p>
        </w:tc>
        <w:tc>
          <w:tcPr>
            <w:tcW w:w="2336" w:type="dxa"/>
            <w:tcBorders>
              <w:top w:val="single" w:color="auto" w:sz="8" w:space="0"/>
            </w:tcBorders>
            <w:shd w:val="clear" w:color="auto" w:fill="auto"/>
            <w:vAlign w:val="center"/>
          </w:tcPr>
          <w:p>
            <w:pPr>
              <w:pStyle w:val="178"/>
            </w:pPr>
            <w:r>
              <w:rPr>
                <w:rFonts w:hint="eastAsia"/>
              </w:rPr>
              <w:t>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6" w:type="dxa"/>
            <w:shd w:val="clear" w:color="auto" w:fill="auto"/>
            <w:vAlign w:val="center"/>
          </w:tcPr>
          <w:p>
            <w:pPr>
              <w:pStyle w:val="178"/>
            </w:pPr>
            <w:r>
              <w:rPr>
                <w:rFonts w:hint="eastAsia"/>
              </w:rPr>
              <w:t>2</w:t>
            </w:r>
            <w:r>
              <w:t>0</w:t>
            </w:r>
          </w:p>
        </w:tc>
        <w:tc>
          <w:tcPr>
            <w:tcW w:w="2336" w:type="dxa"/>
            <w:shd w:val="clear" w:color="auto" w:fill="auto"/>
            <w:vAlign w:val="center"/>
          </w:tcPr>
          <w:p>
            <w:pPr>
              <w:pStyle w:val="178"/>
            </w:pPr>
            <w:r>
              <w:rPr>
                <w:rFonts w:hint="eastAsia"/>
              </w:rPr>
              <w:t>195</w:t>
            </w:r>
          </w:p>
        </w:tc>
        <w:tc>
          <w:tcPr>
            <w:tcW w:w="2336" w:type="dxa"/>
            <w:shd w:val="clear" w:color="auto" w:fill="auto"/>
            <w:vAlign w:val="center"/>
          </w:tcPr>
          <w:p>
            <w:pPr>
              <w:pStyle w:val="178"/>
            </w:pPr>
            <w:r>
              <w:rPr>
                <w:rFonts w:hint="eastAsia"/>
              </w:rPr>
              <w:t>98</w:t>
            </w:r>
          </w:p>
        </w:tc>
        <w:tc>
          <w:tcPr>
            <w:tcW w:w="2336" w:type="dxa"/>
            <w:shd w:val="clear" w:color="auto" w:fill="auto"/>
            <w:vAlign w:val="center"/>
          </w:tcPr>
          <w:p>
            <w:pPr>
              <w:pStyle w:val="178"/>
            </w:pPr>
            <w:r>
              <w:rPr>
                <w:rFonts w:hint="eastAsia"/>
              </w:rPr>
              <w:t>106</w:t>
            </w:r>
          </w:p>
        </w:tc>
      </w:tr>
    </w:tbl>
    <w:p>
      <w:pPr>
        <w:pStyle w:val="56"/>
        <w:numPr>
          <w:ilvl w:val="0"/>
          <w:numId w:val="51"/>
        </w:numPr>
        <w:ind w:firstLineChars="0"/>
      </w:pPr>
      <w:r>
        <w:t>同类不同厂家的水表可实现</w:t>
      </w:r>
      <w:r>
        <w:rPr>
          <w:rFonts w:hint="eastAsia"/>
        </w:rPr>
        <w:t>互换</w:t>
      </w:r>
      <w:r>
        <w:t>。</w:t>
      </w:r>
    </w:p>
    <w:p>
      <w:pPr>
        <w:pStyle w:val="56"/>
        <w:numPr>
          <w:ilvl w:val="0"/>
          <w:numId w:val="51"/>
        </w:numPr>
        <w:ind w:firstLineChars="0"/>
      </w:pPr>
      <w:r>
        <w:rPr>
          <w:rFonts w:hint="eastAsia"/>
        </w:rPr>
        <w:t>水表</w:t>
      </w:r>
      <w:r>
        <w:t>始</w:t>
      </w:r>
      <w:r>
        <w:rPr>
          <w:rFonts w:hint="eastAsia"/>
        </w:rPr>
        <w:t>动流量</w:t>
      </w:r>
      <w:r>
        <w:t>：DN15</w:t>
      </w:r>
      <w:r>
        <w:rPr>
          <w:rFonts w:hint="eastAsia"/>
        </w:rPr>
        <w:t>口径小于6</w:t>
      </w:r>
      <w:r>
        <w:t xml:space="preserve"> </w:t>
      </w:r>
      <w:r>
        <w:rPr>
          <w:rFonts w:hint="eastAsia"/>
        </w:rPr>
        <w:t>L/h，</w:t>
      </w:r>
      <w:r>
        <w:t>DN20</w:t>
      </w:r>
      <w:r>
        <w:rPr>
          <w:rFonts w:hint="eastAsia"/>
        </w:rPr>
        <w:t>口径小于</w:t>
      </w:r>
      <w:r>
        <w:t xml:space="preserve">10 </w:t>
      </w:r>
      <w:r>
        <w:rPr>
          <w:rFonts w:hint="eastAsia"/>
        </w:rPr>
        <w:t>L/h。</w:t>
      </w:r>
    </w:p>
    <w:p>
      <w:pPr>
        <w:pStyle w:val="56"/>
        <w:numPr>
          <w:ilvl w:val="0"/>
          <w:numId w:val="51"/>
        </w:numPr>
        <w:ind w:firstLineChars="0"/>
      </w:pPr>
      <w:r>
        <w:rPr>
          <w:rFonts w:hint="eastAsia"/>
        </w:rPr>
        <w:t>量</w:t>
      </w:r>
      <w:r>
        <w:t>程</w:t>
      </w:r>
      <w:r>
        <w:rPr>
          <w:rFonts w:hint="eastAsia"/>
        </w:rPr>
        <w:t>比：</w:t>
      </w:r>
      <w:r>
        <w:t>Q</w:t>
      </w:r>
      <w:r>
        <w:rPr>
          <w:vertAlign w:val="subscript"/>
        </w:rPr>
        <w:t>3</w:t>
      </w:r>
      <w:r>
        <w:rPr>
          <w:rFonts w:hint="eastAsia"/>
        </w:rPr>
        <w:t>/Q</w:t>
      </w:r>
      <w:r>
        <w:rPr>
          <w:rFonts w:hint="eastAsia"/>
          <w:vertAlign w:val="subscript"/>
        </w:rPr>
        <w:t>1</w:t>
      </w:r>
      <w:r>
        <w:rPr>
          <w:rFonts w:hint="eastAsia"/>
        </w:rPr>
        <w:t>≥80。</w:t>
      </w:r>
    </w:p>
    <w:p>
      <w:pPr>
        <w:pStyle w:val="105"/>
        <w:spacing w:before="156" w:after="156"/>
      </w:pPr>
      <w:bookmarkStart w:id="68" w:name="_Toc148526821"/>
      <w:r>
        <w:rPr>
          <w:rFonts w:hint="eastAsia"/>
        </w:rPr>
        <w:t>自控</w:t>
      </w:r>
      <w:bookmarkEnd w:id="68"/>
    </w:p>
    <w:p>
      <w:pPr>
        <w:pStyle w:val="165"/>
      </w:pPr>
      <w:r>
        <w:rPr>
          <w:rFonts w:hint="eastAsia"/>
        </w:rPr>
        <w:t>控制设备应按GB 50055的</w:t>
      </w:r>
      <w:r>
        <w:t>要求</w:t>
      </w:r>
      <w:r>
        <w:rPr>
          <w:rFonts w:hint="eastAsia"/>
        </w:rPr>
        <w:t>执行。电源防雷器和信号防雷器需符合GB/T 17702的规定。控制设备应兼容水泵电机一体式变频设备。</w:t>
      </w:r>
    </w:p>
    <w:p>
      <w:pPr>
        <w:pStyle w:val="165"/>
      </w:pPr>
      <w:r>
        <w:rPr>
          <w:rFonts w:hint="eastAsia"/>
        </w:rPr>
        <w:t>控制设备应符合以下规定：</w:t>
      </w:r>
    </w:p>
    <w:p>
      <w:pPr>
        <w:pStyle w:val="174"/>
        <w:numPr>
          <w:ilvl w:val="0"/>
          <w:numId w:val="52"/>
        </w:numPr>
      </w:pPr>
      <w:r>
        <w:rPr>
          <w:rFonts w:hint="eastAsia"/>
        </w:rPr>
        <w:t>PLC智能控制系统：</w:t>
      </w:r>
    </w:p>
    <w:p>
      <w:pPr>
        <w:pStyle w:val="109"/>
      </w:pPr>
      <w:r>
        <w:rPr>
          <w:rFonts w:hint="eastAsia"/>
        </w:rPr>
        <w:t>PLC模块信号点须预留20%余量；控制柜内电子元器件布局、进出信号端子排序规则须保持一致；</w:t>
      </w:r>
    </w:p>
    <w:p>
      <w:pPr>
        <w:pStyle w:val="109"/>
      </w:pPr>
      <w:r>
        <w:rPr>
          <w:rFonts w:hint="eastAsia"/>
        </w:rPr>
        <w:t>泵房所选择PLC控制设备及相关I</w:t>
      </w:r>
      <w:r>
        <w:t>O</w:t>
      </w:r>
      <w:r>
        <w:rPr>
          <w:rFonts w:hint="eastAsia"/>
        </w:rPr>
        <w:t>模块必须统一，宜选取同一系列型号及品牌；CPU模块必须自带以太网口；开关量采用无源触点信号，模拟量采用 4</w:t>
      </w:r>
      <w:r>
        <w:rPr>
          <w:rFonts w:hint="eastAsia" w:hAnsi="宋体"/>
        </w:rPr>
        <w:t>～</w:t>
      </w:r>
      <w:r>
        <w:rPr>
          <w:rFonts w:hint="eastAsia"/>
        </w:rPr>
        <w:t>20</w:t>
      </w:r>
      <w:r>
        <w:t xml:space="preserve"> </w:t>
      </w:r>
      <w:r>
        <w:rPr>
          <w:rFonts w:hint="eastAsia"/>
        </w:rPr>
        <w:t>mA电流信号；</w:t>
      </w:r>
    </w:p>
    <w:p>
      <w:pPr>
        <w:pStyle w:val="109"/>
      </w:pPr>
      <w:r>
        <w:rPr>
          <w:rFonts w:hint="eastAsia"/>
        </w:rPr>
        <w:t>控制程序应有完整的中文注释。控制柜内连接线要有号码管，元器件应有中文标识，线号与标识要与图纸保持一致。</w:t>
      </w:r>
    </w:p>
    <w:p>
      <w:pPr>
        <w:pStyle w:val="109"/>
      </w:pPr>
      <w:r>
        <w:rPr>
          <w:rFonts w:hint="eastAsia"/>
        </w:rPr>
        <w:t>每个模拟量输入通道须配置信号防雷器，控制柜进线电源须配置电源防雷器；</w:t>
      </w:r>
    </w:p>
    <w:p>
      <w:pPr>
        <w:pStyle w:val="109"/>
      </w:pPr>
      <w:r>
        <w:rPr>
          <w:rFonts w:hint="eastAsia"/>
        </w:rPr>
        <w:t>设备泵组全自动运行，无人值守，具备停电后复电自动再启动功能，具有远程/就地控制切换功能，可实现设备的远程/就地启停功能；</w:t>
      </w:r>
    </w:p>
    <w:p>
      <w:pPr>
        <w:pStyle w:val="109"/>
      </w:pPr>
      <w:r>
        <w:rPr>
          <w:rFonts w:hint="eastAsia"/>
        </w:rPr>
        <w:t>泵组自动轮换功能：工作泵与非工作泵应按照设定时间自动轮换运行，做到先启先停；</w:t>
      </w:r>
    </w:p>
    <w:p>
      <w:pPr>
        <w:pStyle w:val="109"/>
      </w:pPr>
      <w:r>
        <w:rPr>
          <w:rFonts w:hint="eastAsia"/>
        </w:rPr>
        <w:t>自动压力控制功能：第一台水泵变频启动达到额定的频率，但设备出水口压力仍未稳定达到设定值时，按照等待队列启动第二台水泵，以此类推；当压力稳定后，应自动进行能耗判别选择合适的水泵运行台数；</w:t>
      </w:r>
    </w:p>
    <w:p>
      <w:pPr>
        <w:pStyle w:val="109"/>
      </w:pPr>
      <w:r>
        <w:rPr>
          <w:rFonts w:hint="eastAsia"/>
        </w:rPr>
        <w:t>泵房建设完成后，数据采集与监视控制系统应实现对泵房全部数据的监控。</w:t>
      </w:r>
    </w:p>
    <w:p>
      <w:pPr>
        <w:pStyle w:val="174"/>
        <w:numPr>
          <w:ilvl w:val="0"/>
          <w:numId w:val="52"/>
        </w:numPr>
      </w:pPr>
      <w:r>
        <w:rPr>
          <w:rFonts w:hint="eastAsia"/>
        </w:rPr>
        <w:t>变频器：变频调速水泵宜采用一对一控制，水泵计控/就地、运行、启/停、频率输入/输出采用硬接点控制方式，变频器其他信号采用通讯方式读取至PLC；</w:t>
      </w:r>
    </w:p>
    <w:p>
      <w:pPr>
        <w:pStyle w:val="174"/>
      </w:pPr>
      <w:r>
        <w:rPr>
          <w:rFonts w:hint="eastAsia"/>
        </w:rPr>
        <w:t>工业交换机：根据现场实际情况配置光口、电口数量；</w:t>
      </w:r>
    </w:p>
    <w:p>
      <w:pPr>
        <w:pStyle w:val="174"/>
      </w:pPr>
      <w:r>
        <w:rPr>
          <w:rFonts w:hint="eastAsia"/>
        </w:rPr>
        <w:t>触摸屏：选用9寸、分辨率不低于924*600触摸屏，应支持以太网通讯方式，能够查询显示控制系统相关参数（设定压力，实际压力，电流，电压，频率等），并能对水泵启停、供水压力、水泵频率进行修改设置，同时具有声光报警功能；</w:t>
      </w:r>
    </w:p>
    <w:p>
      <w:pPr>
        <w:pStyle w:val="174"/>
      </w:pPr>
      <w:r>
        <w:rPr>
          <w:rFonts w:hint="eastAsia"/>
        </w:rPr>
        <w:t>应有过载、短路、过压、缺相、欠压、过热、缺水、传感器短线、爆管、干转、失压保护等故障报警及自动保护功能。对可恢复的故障应能自动或手动消除，恢复正常运行；</w:t>
      </w:r>
    </w:p>
    <w:p>
      <w:pPr>
        <w:pStyle w:val="174"/>
      </w:pPr>
      <w:r>
        <w:rPr>
          <w:rFonts w:hint="eastAsia"/>
        </w:rPr>
        <w:t>应具备小流量保压、自动稳压、超压保护、防水锤、相序保护等功能。</w:t>
      </w:r>
    </w:p>
    <w:p>
      <w:pPr>
        <w:pStyle w:val="165"/>
      </w:pPr>
      <w:r>
        <w:rPr>
          <w:rFonts w:hint="eastAsia"/>
        </w:rPr>
        <w:t>电控与保护应符合下列规定：</w:t>
      </w:r>
    </w:p>
    <w:p>
      <w:pPr>
        <w:pStyle w:val="174"/>
        <w:numPr>
          <w:ilvl w:val="0"/>
          <w:numId w:val="53"/>
        </w:numPr>
      </w:pPr>
      <w:r>
        <w:rPr>
          <w:rFonts w:hint="eastAsia"/>
        </w:rPr>
        <w:t>电源应满足设备的安全运行，宜采用双电源或双回路供电方式；</w:t>
      </w:r>
    </w:p>
    <w:p>
      <w:pPr>
        <w:pStyle w:val="174"/>
      </w:pPr>
      <w:r>
        <w:rPr>
          <w:rFonts w:hint="eastAsia"/>
        </w:rPr>
        <w:t>泵房应设置地面积水报警装置并与电气控制系统和排水系统联动；</w:t>
      </w:r>
    </w:p>
    <w:p>
      <w:pPr>
        <w:pStyle w:val="174"/>
      </w:pPr>
      <w:r>
        <w:rPr>
          <w:rFonts w:hint="eastAsia"/>
        </w:rPr>
        <w:t>设备应有可靠的安全接地保护。</w:t>
      </w:r>
    </w:p>
    <w:p>
      <w:pPr>
        <w:pStyle w:val="165"/>
      </w:pPr>
      <w:r>
        <w:rPr>
          <w:rFonts w:hint="eastAsia"/>
        </w:rPr>
        <w:t>水池（箱）应实现以下功能：</w:t>
      </w:r>
    </w:p>
    <w:p>
      <w:pPr>
        <w:pStyle w:val="174"/>
        <w:numPr>
          <w:ilvl w:val="0"/>
          <w:numId w:val="54"/>
        </w:numPr>
      </w:pPr>
      <w:r>
        <w:rPr>
          <w:rFonts w:hint="eastAsia"/>
        </w:rPr>
        <w:t>进水装置应有电气控制功能；</w:t>
      </w:r>
    </w:p>
    <w:p>
      <w:pPr>
        <w:pStyle w:val="174"/>
      </w:pPr>
      <w:r>
        <w:rPr>
          <w:rFonts w:hint="eastAsia"/>
        </w:rPr>
        <w:t>低位水池出现低液位时，能自动停泵和报警；</w:t>
      </w:r>
    </w:p>
    <w:p>
      <w:pPr>
        <w:pStyle w:val="174"/>
      </w:pPr>
      <w:r>
        <w:rPr>
          <w:rFonts w:hint="eastAsia"/>
        </w:rPr>
        <w:t>出现溢流液位时，能自动关闭进水电动阀门和报警。</w:t>
      </w:r>
    </w:p>
    <w:p>
      <w:pPr>
        <w:pStyle w:val="104"/>
        <w:spacing w:before="312" w:after="312"/>
      </w:pPr>
      <w:bookmarkStart w:id="69" w:name="_Toc148526822"/>
      <w:r>
        <w:rPr>
          <w:rFonts w:hint="eastAsia"/>
        </w:rPr>
        <w:t>管理系统与安防</w:t>
      </w:r>
      <w:bookmarkEnd w:id="69"/>
    </w:p>
    <w:p>
      <w:pPr>
        <w:pStyle w:val="105"/>
        <w:spacing w:before="156" w:after="156"/>
      </w:pPr>
      <w:bookmarkStart w:id="70" w:name="_Toc148526823"/>
      <w:r>
        <w:rPr>
          <w:rFonts w:hint="eastAsia"/>
        </w:rPr>
        <w:t>一般规定</w:t>
      </w:r>
      <w:bookmarkEnd w:id="70"/>
    </w:p>
    <w:p>
      <w:pPr>
        <w:pStyle w:val="165"/>
      </w:pPr>
      <w:r>
        <w:rPr>
          <w:rFonts w:hint="eastAsia"/>
        </w:rPr>
        <w:t>二次供水信息管理系统应利用通信网络集成泵房自动化控制数据采集与监视控制系统、安防视频系统和门禁系统等，通过电脑端及移动端实现数据采集和监控、设备运行维护以及系统管理的自动化、信息化，并能够通过数据建模分析优化运行管理流程。</w:t>
      </w:r>
    </w:p>
    <w:p>
      <w:pPr>
        <w:pStyle w:val="165"/>
      </w:pPr>
      <w:r>
        <w:rPr>
          <w:rFonts w:hint="eastAsia"/>
        </w:rPr>
        <w:t xml:space="preserve"> 通信网络应单独设置，实现数据的可靠传输。应采用网络防火墙、病毒防护和VPN等技术手段保证网络安全。</w:t>
      </w:r>
    </w:p>
    <w:p>
      <w:pPr>
        <w:pStyle w:val="165"/>
      </w:pPr>
      <w:r>
        <w:rPr>
          <w:rFonts w:hint="eastAsia"/>
        </w:rPr>
        <w:t>应采用设备硬件冗余、数据库系统冗余、应用系统冗余等技术手段保证系统稳定运行。</w:t>
      </w:r>
    </w:p>
    <w:p>
      <w:pPr>
        <w:pStyle w:val="165"/>
      </w:pPr>
      <w:r>
        <w:rPr>
          <w:rFonts w:hint="eastAsia"/>
        </w:rPr>
        <w:t>系统应提供标准的PC端及移动端二次开发接口（动态库、WebSevice、Http、HLS 视频流等），</w:t>
      </w:r>
    </w:p>
    <w:p>
      <w:pPr>
        <w:pStyle w:val="165"/>
      </w:pPr>
      <w:r>
        <w:rPr>
          <w:rFonts w:hint="eastAsia"/>
        </w:rPr>
        <w:t>接口内容包括视频浏览、回放、云台控制、对讲、录制、报警等，接口提供的视频要能在各种主流浏览器（IE、Google、360 等）播放，系统应具备单点登录集成及功能界面集成功能。</w:t>
      </w:r>
    </w:p>
    <w:p>
      <w:pPr>
        <w:pStyle w:val="105"/>
        <w:spacing w:before="156" w:after="156"/>
      </w:pPr>
      <w:bookmarkStart w:id="71" w:name="_Toc148526824"/>
      <w:bookmarkStart w:id="72" w:name="_Toc3821009"/>
      <w:bookmarkStart w:id="73" w:name="_Toc15589"/>
      <w:bookmarkStart w:id="74" w:name="_Toc37687869"/>
      <w:bookmarkStart w:id="75" w:name="_Toc524357171"/>
      <w:bookmarkStart w:id="76" w:name="_Toc590"/>
      <w:bookmarkStart w:id="77" w:name="_Toc513039185"/>
      <w:r>
        <w:rPr>
          <w:rFonts w:hint="eastAsia"/>
        </w:rPr>
        <w:t>安防系统</w:t>
      </w:r>
      <w:bookmarkEnd w:id="71"/>
    </w:p>
    <w:p>
      <w:pPr>
        <w:pStyle w:val="165"/>
      </w:pPr>
      <w:r>
        <w:rPr>
          <w:rFonts w:hint="eastAsia"/>
        </w:rPr>
        <w:t>应采用低照度、可远控以及不低于200万像素的球机摄像头。</w:t>
      </w:r>
    </w:p>
    <w:p>
      <w:pPr>
        <w:pStyle w:val="165"/>
      </w:pPr>
      <w:r>
        <w:rPr>
          <w:rFonts w:hint="eastAsia"/>
        </w:rPr>
        <w:t>支持对特定场景（人孔）进行布防，场景因非授权人员进入泵房时，触发入侵报警，并在二次供水管理平台中弹出现场画面。</w:t>
      </w:r>
    </w:p>
    <w:p>
      <w:pPr>
        <w:pStyle w:val="165"/>
      </w:pPr>
      <w:r>
        <w:rPr>
          <w:rFonts w:hint="eastAsia"/>
        </w:rPr>
        <w:t>具备声光报警功能，声光报警装置引至泵房外。</w:t>
      </w:r>
    </w:p>
    <w:p>
      <w:pPr>
        <w:pStyle w:val="165"/>
      </w:pPr>
      <w:r>
        <w:rPr>
          <w:rFonts w:hint="eastAsia"/>
        </w:rPr>
        <w:t>系统应具有视频追溯功能，正常监控数据须滚动保存1个月。入侵报警发生后，系统应将自报警前30</w:t>
      </w:r>
      <w:r>
        <w:t xml:space="preserve"> </w:t>
      </w:r>
      <w:r>
        <w:rPr>
          <w:rFonts w:hint="eastAsia"/>
        </w:rPr>
        <w:t>s至报警结束的视频图像自动单独存放在泵房本地存储系统，同时上传至中央监控中心进行保存。</w:t>
      </w:r>
    </w:p>
    <w:p>
      <w:pPr>
        <w:pStyle w:val="165"/>
      </w:pPr>
      <w:r>
        <w:rPr>
          <w:rFonts w:hint="eastAsia"/>
        </w:rPr>
        <w:t>视频系统应具备人数统计、行为分析等功能，具备监测水泵运行温度的功能。</w:t>
      </w:r>
    </w:p>
    <w:p>
      <w:pPr>
        <w:pStyle w:val="165"/>
      </w:pPr>
      <w:r>
        <w:rPr>
          <w:rFonts w:hint="eastAsia"/>
        </w:rPr>
        <w:t>实现监控中心与各泵房双向对讲通话功能。</w:t>
      </w:r>
    </w:p>
    <w:p>
      <w:pPr>
        <w:pStyle w:val="165"/>
      </w:pPr>
      <w:r>
        <w:rPr>
          <w:rFonts w:hint="eastAsia"/>
        </w:rPr>
        <w:t>泵房应设置独立的脸部识别与指纹门禁系统，可记录人员信息和开启门禁时间，进行图像抓拍，并上传至二次供水管理平台中。</w:t>
      </w:r>
    </w:p>
    <w:p>
      <w:pPr>
        <w:pStyle w:val="165"/>
      </w:pPr>
      <w:r>
        <w:rPr>
          <w:rFonts w:hint="eastAsia"/>
        </w:rPr>
        <w:t>视频质量诊断服务器应定期对摄像头是否损坏及图像质量等进行诊断，诊断结果能以报表、图表等多种形式呈现并实现同步提醒。</w:t>
      </w:r>
    </w:p>
    <w:p>
      <w:pPr>
        <w:pStyle w:val="165"/>
      </w:pPr>
      <w:r>
        <w:rPr>
          <w:rFonts w:hint="eastAsia"/>
        </w:rPr>
        <w:t>泵房现场视频应能清晰显示在二次供水管理平台中。视频安防系统的防雷与接地应符合GB 50347、GB 50348、GB 50174 及GB 50343 相关条款规定。</w:t>
      </w:r>
    </w:p>
    <w:p>
      <w:pPr>
        <w:pStyle w:val="105"/>
        <w:spacing w:before="156" w:after="156"/>
      </w:pPr>
      <w:bookmarkStart w:id="78" w:name="_Toc148526825"/>
      <w:r>
        <w:t>数据采集与控制系统</w:t>
      </w:r>
      <w:bookmarkEnd w:id="72"/>
      <w:bookmarkEnd w:id="73"/>
      <w:bookmarkEnd w:id="74"/>
      <w:bookmarkEnd w:id="75"/>
      <w:bookmarkEnd w:id="76"/>
      <w:bookmarkEnd w:id="77"/>
      <w:bookmarkEnd w:id="78"/>
    </w:p>
    <w:p>
      <w:pPr>
        <w:pStyle w:val="165"/>
      </w:pPr>
      <w:r>
        <w:t>应实现</w:t>
      </w:r>
      <w:r>
        <w:rPr>
          <w:rFonts w:hint="eastAsia"/>
        </w:rPr>
        <w:t>二次供水</w:t>
      </w:r>
      <w:r>
        <w:t>设施运行数据及视频信息的自动采集、传输监控、预警报警、远程控制、存储备份、统计分析等功能，并应具备数据信息的容错、判错功能。</w:t>
      </w:r>
    </w:p>
    <w:p>
      <w:pPr>
        <w:pStyle w:val="165"/>
      </w:pPr>
      <w:r>
        <w:rPr>
          <w:rFonts w:hint="eastAsia"/>
        </w:rPr>
        <w:t>可接入市面几乎所有品牌型号摄像头,摄像头需满足ONVIF全球通用协议或GB 28181国标协议；支持断网续传,即使离线，数据依旧可缓存；管理人员可使用U盘进行历史数据、报警数据、自控日志、系统日志的导出；</w:t>
      </w:r>
    </w:p>
    <w:p>
      <w:pPr>
        <w:pStyle w:val="165"/>
      </w:pPr>
      <w:r>
        <w:t>系统自动采集的数据信息主要包括：</w:t>
      </w:r>
    </w:p>
    <w:p>
      <w:pPr>
        <w:pStyle w:val="174"/>
        <w:numPr>
          <w:ilvl w:val="0"/>
          <w:numId w:val="55"/>
        </w:numPr>
      </w:pPr>
      <w:r>
        <w:t>水质信息，包括余氯、浊度、PH值等；</w:t>
      </w:r>
    </w:p>
    <w:p>
      <w:pPr>
        <w:pStyle w:val="174"/>
      </w:pPr>
      <w:r>
        <w:t>环境信息，包括温度、湿度、地面积水等；</w:t>
      </w:r>
    </w:p>
    <w:p>
      <w:pPr>
        <w:pStyle w:val="174"/>
      </w:pPr>
      <w:r>
        <w:t>设备信息，包括电流、电压、电量、温度等；</w:t>
      </w:r>
    </w:p>
    <w:p>
      <w:pPr>
        <w:pStyle w:val="174"/>
      </w:pPr>
      <w:r>
        <w:t>其他供水信息，包括进出水压力、进出水流量、水箱液位等。</w:t>
      </w:r>
    </w:p>
    <w:p>
      <w:pPr>
        <w:pStyle w:val="165"/>
      </w:pPr>
      <w:r>
        <w:t>系统应具备水压自动控制、水泵机组自动切换、集水坑自动排水、泵房水淹自动断电保护、压力和液位传感器故障自动识别等功能，并支持远程控制。</w:t>
      </w:r>
    </w:p>
    <w:p>
      <w:pPr>
        <w:pStyle w:val="165"/>
      </w:pPr>
      <w:r>
        <w:t>除应具备实时感知并存储水质信息、水压信息、流量信息、环境信息、设备信息、门禁信息等外，还应可与视频系统联动，以声光、短信息等方式进行报警，并能够传送报警视频、图片。</w:t>
      </w:r>
    </w:p>
    <w:p>
      <w:pPr>
        <w:pStyle w:val="165"/>
      </w:pPr>
      <w:r>
        <w:rPr>
          <w:rFonts w:hint="eastAsia"/>
        </w:rPr>
        <w:t>应支持接口，包括但不限于：≥1个WAN口，≥4个LAN口，支持modbus TCP/IP协议，≥58路DI，≥24路DO，≥12路AI，≥1个WAN，≥4个LAN口,≥5路RJ45网口，≥2路RS485接口；</w:t>
      </w:r>
    </w:p>
    <w:p>
      <w:pPr>
        <w:pStyle w:val="165"/>
      </w:pPr>
      <w:r>
        <w:rPr>
          <w:rFonts w:hint="eastAsia"/>
        </w:rPr>
        <w:t>应支持TLS或SSL数字证书，保证远程控制的安全性；内含丰富的诊断专家诊断库，发生异常后，可在泵房本地进行诊断并生成报警。支持泵房在离线状态下进行异常诊断；</w:t>
      </w:r>
    </w:p>
    <w:p>
      <w:pPr>
        <w:pStyle w:val="165"/>
      </w:pPr>
      <w:r>
        <w:rPr>
          <w:rFonts w:hint="eastAsia"/>
        </w:rPr>
        <w:t>宜支持OTA升级，通过OTA远程升级，用软件定义硬件，可灵活应对未来可能多变的场景要求。</w:t>
      </w:r>
    </w:p>
    <w:p>
      <w:pPr>
        <w:pStyle w:val="165"/>
      </w:pPr>
      <w:r>
        <w:rPr>
          <w:rFonts w:hint="eastAsia"/>
        </w:rPr>
        <w:t>防护等级应在IP55及以上。</w:t>
      </w:r>
    </w:p>
    <w:p>
      <w:pPr>
        <w:pStyle w:val="165"/>
      </w:pPr>
      <w:r>
        <w:rPr>
          <w:rFonts w:hint="eastAsia"/>
        </w:rPr>
        <w:t>耐盐雾性能应能在50g/L浓度的氯化钠溶液中48</w:t>
      </w:r>
      <w:r>
        <w:t xml:space="preserve"> </w:t>
      </w:r>
      <w:r>
        <w:rPr>
          <w:rFonts w:hint="eastAsia"/>
        </w:rPr>
        <w:t>h后，柜体外壳无明显腐蚀现象，无明显变形。</w:t>
      </w:r>
    </w:p>
    <w:p>
      <w:pPr>
        <w:pStyle w:val="105"/>
        <w:spacing w:before="156" w:after="156"/>
      </w:pPr>
      <w:bookmarkStart w:id="79" w:name="_Toc3821010"/>
      <w:bookmarkStart w:id="80" w:name="_Toc524357172"/>
      <w:bookmarkStart w:id="81" w:name="_Toc37687870"/>
      <w:bookmarkStart w:id="82" w:name="_Toc2725"/>
      <w:bookmarkStart w:id="83" w:name="_Toc148526826"/>
      <w:r>
        <w:t>运行维护管理系统</w:t>
      </w:r>
      <w:bookmarkEnd w:id="79"/>
      <w:bookmarkEnd w:id="80"/>
      <w:bookmarkEnd w:id="81"/>
      <w:bookmarkEnd w:id="82"/>
      <w:bookmarkEnd w:id="83"/>
    </w:p>
    <w:p>
      <w:pPr>
        <w:pStyle w:val="165"/>
      </w:pPr>
      <w:r>
        <w:t>应建立二次供水设施运行维护管理系统，对二次供水设施日常巡检、维护保养、设备维修、水池清洗等运行维护数据进行及时、准确、完整地记录。</w:t>
      </w:r>
    </w:p>
    <w:p>
      <w:pPr>
        <w:pStyle w:val="165"/>
      </w:pPr>
      <w:r>
        <w:t>应具备可视化用户界面，集成视频监控、设备维护管理、数据分析和报表统计等功能模块。</w:t>
      </w:r>
    </w:p>
    <w:p>
      <w:pPr>
        <w:pStyle w:val="165"/>
      </w:pPr>
      <w:r>
        <w:t>视频监控终端应具备对各泵房监控设备进行故障检测功能并支持远程巡检。</w:t>
      </w:r>
    </w:p>
    <w:p>
      <w:pPr>
        <w:pStyle w:val="165"/>
      </w:pPr>
      <w:r>
        <w:t>应基于运行维护管理系统对二次供水设施进行全生命周期的信息化管理，根据水泵、变频器等设备运行时间、运行状态、故障信息等数据，实现设备检修保养等操作信息的自动提醒功能，能自动生成设备维护、保养及维修工单。</w:t>
      </w:r>
    </w:p>
    <w:p>
      <w:pPr>
        <w:pStyle w:val="165"/>
      </w:pPr>
      <w:r>
        <w:t>应定期对各类生产数据进行统计分析，并根据数据分析成果优化二次加压设施的管控模式。</w:t>
      </w:r>
    </w:p>
    <w:p>
      <w:pPr>
        <w:pStyle w:val="165"/>
      </w:pPr>
      <w:r>
        <w:t>系统应具备关联业务系统的数据接口。</w:t>
      </w:r>
    </w:p>
    <w:p>
      <w:pPr>
        <w:pStyle w:val="104"/>
        <w:spacing w:before="312" w:after="312"/>
      </w:pPr>
      <w:bookmarkStart w:id="84" w:name="_Toc148526827"/>
      <w:r>
        <w:rPr>
          <w:rFonts w:hint="eastAsia"/>
        </w:rPr>
        <w:t>施工</w:t>
      </w:r>
      <w:r>
        <w:t>及安装</w:t>
      </w:r>
      <w:bookmarkEnd w:id="84"/>
    </w:p>
    <w:p>
      <w:pPr>
        <w:pStyle w:val="105"/>
        <w:spacing w:before="156" w:after="156"/>
      </w:pPr>
      <w:bookmarkStart w:id="85" w:name="_Toc148526828"/>
      <w:r>
        <w:rPr>
          <w:rFonts w:hint="eastAsia"/>
        </w:rPr>
        <w:t>一般</w:t>
      </w:r>
      <w:r>
        <w:t>规定</w:t>
      </w:r>
      <w:bookmarkEnd w:id="85"/>
    </w:p>
    <w:p>
      <w:pPr>
        <w:pStyle w:val="165"/>
      </w:pPr>
      <w:r>
        <w:rPr>
          <w:rFonts w:hint="eastAsia"/>
        </w:rPr>
        <w:t>工程施工应符合GB 50242有关规定，并按照施工图纸进行施工。</w:t>
      </w:r>
    </w:p>
    <w:p>
      <w:pPr>
        <w:pStyle w:val="165"/>
      </w:pPr>
      <w:r>
        <w:rPr>
          <w:rFonts w:hint="eastAsia"/>
        </w:rPr>
        <w:t>施工单位应按国家现行有关标准和经过施工图审查合格后的施工图纸施工。</w:t>
      </w:r>
    </w:p>
    <w:p>
      <w:pPr>
        <w:pStyle w:val="165"/>
      </w:pPr>
      <w:r>
        <w:rPr>
          <w:rFonts w:hint="eastAsia"/>
        </w:rPr>
        <w:t>施工力量、施工场地及施工机具，应具备安全施工条件。</w:t>
      </w:r>
    </w:p>
    <w:p>
      <w:pPr>
        <w:pStyle w:val="165"/>
      </w:pPr>
      <w:r>
        <w:rPr>
          <w:rFonts w:hint="eastAsia"/>
        </w:rPr>
        <w:t>隐蔽工程应经过中间验收后，方可进行下一道工序的施工。</w:t>
      </w:r>
    </w:p>
    <w:p>
      <w:pPr>
        <w:pStyle w:val="165"/>
      </w:pPr>
      <w:r>
        <w:rPr>
          <w:rFonts w:hint="eastAsia"/>
        </w:rPr>
        <w:t>二次供水工程施工应经竣工验收合格后，方可投入使用。</w:t>
      </w:r>
    </w:p>
    <w:p>
      <w:pPr>
        <w:pStyle w:val="105"/>
        <w:spacing w:before="156" w:after="156"/>
      </w:pPr>
      <w:bookmarkStart w:id="86" w:name="_Toc148526829"/>
      <w:r>
        <w:rPr>
          <w:rFonts w:hint="eastAsia"/>
        </w:rPr>
        <w:t>设备</w:t>
      </w:r>
      <w:r>
        <w:t>安装</w:t>
      </w:r>
      <w:bookmarkEnd w:id="86"/>
    </w:p>
    <w:p>
      <w:pPr>
        <w:pStyle w:val="165"/>
      </w:pPr>
      <w:r>
        <w:rPr>
          <w:rFonts w:hint="eastAsia"/>
        </w:rPr>
        <w:t>设备的安装应按工艺要求进行，压力、液位、电压、频率等监控仪表的安装位置和方向应正确，精度等级应符合国家现行有关标准的规定，不得少装、漏装。</w:t>
      </w:r>
    </w:p>
    <w:p>
      <w:pPr>
        <w:pStyle w:val="165"/>
      </w:pPr>
      <w:r>
        <w:rPr>
          <w:rFonts w:hint="eastAsia"/>
        </w:rPr>
        <w:t>材料和设备在安装前应核对、复验，并做好卫生清洁及防护工作。</w:t>
      </w:r>
    </w:p>
    <w:p>
      <w:pPr>
        <w:pStyle w:val="165"/>
      </w:pPr>
      <w:r>
        <w:rPr>
          <w:rFonts w:hint="eastAsia"/>
        </w:rPr>
        <w:t>设备基础尺寸、强度和地脚螺栓孔位置应符合设计和产品要求。设备安装位置应满足安全运行、清洁消毒、维护检修要求。</w:t>
      </w:r>
    </w:p>
    <w:p>
      <w:pPr>
        <w:pStyle w:val="165"/>
      </w:pPr>
      <w:r>
        <w:rPr>
          <w:rFonts w:hint="eastAsia"/>
        </w:rPr>
        <w:t>水泵安装精度应符合GB 50275的有关规定。整体安装的泵，纵向安装水平偏差不应大于0.1/1000，横向安装水平偏差不应大于0.20/1000，并应在泵的进出口法兰面或其它水平面上进行测量；解体安装的泵纵向和横向安装水平偏差均不应大于0.05/1000，并应在水平中分面、轴的外露部分、底座的水平加工面上进行测量。</w:t>
      </w:r>
    </w:p>
    <w:p>
      <w:pPr>
        <w:pStyle w:val="165"/>
      </w:pPr>
      <w:r>
        <w:rPr>
          <w:rFonts w:hint="eastAsia"/>
        </w:rPr>
        <w:t>电控柜（箱）的安装应符合GB 50303 的有关规定。</w:t>
      </w:r>
    </w:p>
    <w:p>
      <w:pPr>
        <w:pStyle w:val="165"/>
      </w:pPr>
      <w:r>
        <w:rPr>
          <w:rFonts w:hint="eastAsia"/>
        </w:rPr>
        <w:t>水池（箱）的安装，包括材质、支架或底座、位置、尺寸、允许偏差及检验方法、通气管、溢流管和泄放管设置、满水试验或水压试验，应严格按照设计以及规范标准执行。</w:t>
      </w:r>
    </w:p>
    <w:p>
      <w:pPr>
        <w:pStyle w:val="165"/>
      </w:pPr>
      <w:r>
        <w:rPr>
          <w:rFonts w:hint="eastAsia"/>
        </w:rPr>
        <w:t>仪器仪表的安装应符合GB 50083的有关规定。</w:t>
      </w:r>
    </w:p>
    <w:p>
      <w:pPr>
        <w:pStyle w:val="105"/>
        <w:spacing w:before="156" w:after="156"/>
      </w:pPr>
      <w:bookmarkStart w:id="87" w:name="_Toc148526830"/>
      <w:r>
        <w:rPr>
          <w:rFonts w:hint="eastAsia"/>
        </w:rPr>
        <w:t>水池（箱）改造</w:t>
      </w:r>
      <w:bookmarkEnd w:id="87"/>
      <w:r>
        <w:rPr>
          <w:rFonts w:hint="eastAsia"/>
        </w:rPr>
        <w:t xml:space="preserve"> </w:t>
      </w:r>
    </w:p>
    <w:p>
      <w:pPr>
        <w:pStyle w:val="165"/>
      </w:pPr>
      <w:r>
        <w:rPr>
          <w:rFonts w:hint="eastAsia"/>
        </w:rPr>
        <w:t xml:space="preserve">改造期间，应制订二次供水系统临时供水保障方案，并报供水企业备案；涉及消防设施改造的，应报消防监督管理部门备案。临时供水保障方案应保证现状水量、水压和水质需求。 </w:t>
      </w:r>
    </w:p>
    <w:p>
      <w:pPr>
        <w:pStyle w:val="165"/>
      </w:pPr>
      <w:r>
        <w:rPr>
          <w:rFonts w:hint="eastAsia"/>
        </w:rPr>
        <w:t>改造期间，临时消防设施根据现状消防资料及要求确定。若无相关资料，可依据居民小区建设年代执行的国家消防规范确定。</w:t>
      </w:r>
    </w:p>
    <w:p>
      <w:pPr>
        <w:pStyle w:val="105"/>
        <w:spacing w:before="156" w:after="156"/>
      </w:pPr>
      <w:bookmarkStart w:id="88" w:name="_Toc148526831"/>
      <w:r>
        <w:rPr>
          <w:rFonts w:hint="eastAsia"/>
        </w:rPr>
        <w:t>管道的敷设与安装</w:t>
      </w:r>
      <w:bookmarkEnd w:id="88"/>
    </w:p>
    <w:p>
      <w:pPr>
        <w:pStyle w:val="165"/>
      </w:pPr>
      <w:r>
        <w:rPr>
          <w:rFonts w:hint="eastAsia"/>
        </w:rPr>
        <w:t>管道敷设及安装应执行现行国家有关标准和规范。</w:t>
      </w:r>
    </w:p>
    <w:p>
      <w:pPr>
        <w:pStyle w:val="165"/>
      </w:pPr>
      <w:r>
        <w:rPr>
          <w:rFonts w:hint="eastAsia"/>
        </w:rPr>
        <w:t>二次供水的建筑物引入管与污水排出管的管外壁水平净距不宜小于1.0</w:t>
      </w:r>
      <w:r>
        <w:t xml:space="preserve"> </w:t>
      </w:r>
      <w:r>
        <w:rPr>
          <w:rFonts w:hint="eastAsia"/>
        </w:rPr>
        <w:t>m，引入管应有不小于0.003的坡度，坡向室外管网或阀门井、水表井；引入管的转弯处宜设支墩；当穿越承重墙或基础时，应预留洞口或钢套管；穿越地下室外墙处应预埋防水套管。</w:t>
      </w:r>
    </w:p>
    <w:p>
      <w:pPr>
        <w:pStyle w:val="165"/>
      </w:pPr>
      <w:r>
        <w:rPr>
          <w:rFonts w:hint="eastAsia"/>
        </w:rPr>
        <w:t>二次供水室外管道与建筑物外墙平行敷设的净距不宜小于1.0</w:t>
      </w:r>
      <w:r>
        <w:t xml:space="preserve"> m</w:t>
      </w:r>
      <w:r>
        <w:rPr>
          <w:rFonts w:hint="eastAsia"/>
        </w:rPr>
        <w:t>，且不得影响建筑物基础；供水管与污水管的最小水平净距应为0.8</w:t>
      </w:r>
      <w:r>
        <w:t xml:space="preserve"> m</w:t>
      </w:r>
      <w:r>
        <w:rPr>
          <w:rFonts w:hint="eastAsia"/>
        </w:rPr>
        <w:t>，交叉时供水管应在污水管上方，且接口不应重叠，最小垂直净距应为0.1</w:t>
      </w:r>
      <w:r>
        <w:t xml:space="preserve"> </w:t>
      </w:r>
      <w:r>
        <w:rPr>
          <w:rFonts w:hint="eastAsia"/>
        </w:rPr>
        <w:t>m，达不到要求的应采取保护措施。</w:t>
      </w:r>
    </w:p>
    <w:p>
      <w:pPr>
        <w:pStyle w:val="165"/>
      </w:pPr>
      <w:r>
        <w:rPr>
          <w:rFonts w:hint="eastAsia"/>
        </w:rPr>
        <w:t>管道安装时管道内和接口处应清洁无污物，安装过程中应严防施工碎屑落入管中，施工中断和结束后应对敞口部位采取临时封堵措施。</w:t>
      </w:r>
    </w:p>
    <w:p>
      <w:pPr>
        <w:pStyle w:val="165"/>
      </w:pPr>
      <w:r>
        <w:rPr>
          <w:rFonts w:hint="eastAsia"/>
        </w:rPr>
        <w:t>管道安装应平整牢固，间距均匀且应符合设计要求。成排安装的管道应保持轴线平行，弯头的弯曲半径应相同。管道的支、吊架应与管道同等材质，材质不同的应设置橡胶、塑料材质的垫片和套管与管道隔离。</w:t>
      </w:r>
    </w:p>
    <w:p>
      <w:pPr>
        <w:pStyle w:val="165"/>
      </w:pPr>
      <w:r>
        <w:rPr>
          <w:rFonts w:hint="eastAsia"/>
        </w:rPr>
        <w:t>埋地管道采用非金属管道时，必须在管道上端20</w:t>
      </w:r>
      <w:r>
        <w:t xml:space="preserve"> m</w:t>
      </w:r>
      <w:r>
        <w:rPr>
          <w:rFonts w:hint="eastAsia"/>
        </w:rPr>
        <w:t>m～30</w:t>
      </w:r>
      <w:r>
        <w:t xml:space="preserve"> </w:t>
      </w:r>
      <w:r>
        <w:rPr>
          <w:rFonts w:hint="eastAsia"/>
        </w:rPr>
        <w:t>mm处埋设金属示踪线。</w:t>
      </w:r>
    </w:p>
    <w:p>
      <w:pPr>
        <w:pStyle w:val="165"/>
      </w:pPr>
      <w:r>
        <w:rPr>
          <w:rFonts w:hint="eastAsia"/>
        </w:rPr>
        <w:t>新旧管道的连接应符合下列规定：</w:t>
      </w:r>
    </w:p>
    <w:p>
      <w:pPr>
        <w:pStyle w:val="132"/>
      </w:pPr>
      <w:r>
        <w:rPr>
          <w:rFonts w:hint="eastAsia"/>
        </w:rPr>
        <w:t>连接方式宜采用不停水的开口方式；</w:t>
      </w:r>
    </w:p>
    <w:p>
      <w:pPr>
        <w:pStyle w:val="132"/>
      </w:pPr>
      <w:r>
        <w:rPr>
          <w:rFonts w:hint="eastAsia"/>
        </w:rPr>
        <w:t>需要停水的新旧管道连接施工，应采取措施，在24</w:t>
      </w:r>
      <w:r>
        <w:t xml:space="preserve"> </w:t>
      </w:r>
      <w:r>
        <w:rPr>
          <w:rFonts w:hint="eastAsia"/>
        </w:rPr>
        <w:t>h内恢复供水。</w:t>
      </w:r>
    </w:p>
    <w:p>
      <w:pPr>
        <w:pStyle w:val="105"/>
        <w:spacing w:before="156" w:after="156"/>
      </w:pPr>
      <w:bookmarkStart w:id="89" w:name="_Toc148526832"/>
      <w:r>
        <w:rPr>
          <w:rFonts w:hint="eastAsia"/>
        </w:rPr>
        <w:t>质量控制</w:t>
      </w:r>
      <w:bookmarkEnd w:id="89"/>
    </w:p>
    <w:p>
      <w:pPr>
        <w:pStyle w:val="165"/>
      </w:pPr>
      <w:r>
        <w:rPr>
          <w:rFonts w:hint="eastAsia"/>
        </w:rPr>
        <w:t>进场原材料和设备应提交齐全的产品质量证明文件，包括产品合格证、检测报告等，并应符合设计的要求。</w:t>
      </w:r>
    </w:p>
    <w:p>
      <w:pPr>
        <w:pStyle w:val="165"/>
      </w:pPr>
      <w:r>
        <w:rPr>
          <w:rFonts w:hint="eastAsia"/>
        </w:rPr>
        <w:t>施工单位应按照合同文件、设计文件和有关规范、标准要求，根据建设单位提供的施工界域内构（建）筑物等资料，组织有关施工技术管理人员勘察现场实际情况，做好施工准备工作。</w:t>
      </w:r>
    </w:p>
    <w:p>
      <w:pPr>
        <w:pStyle w:val="165"/>
      </w:pPr>
      <w:r>
        <w:rPr>
          <w:rFonts w:hint="eastAsia"/>
        </w:rPr>
        <w:t>现场配制的混凝土、砂浆、防腐与防水涂料等工程材料，应经具有相应资质的单位检测合格后，方可使用。</w:t>
      </w:r>
    </w:p>
    <w:p>
      <w:pPr>
        <w:pStyle w:val="165"/>
      </w:pPr>
      <w:r>
        <w:rPr>
          <w:rFonts w:hint="eastAsia"/>
        </w:rPr>
        <w:t>在质量检验、验收中使用的计量器具和检测设备，必须经计量检定、校准合格后方可使用。承担材料和设备检测的单位，应具备相应的资质。</w:t>
      </w:r>
    </w:p>
    <w:p>
      <w:pPr>
        <w:pStyle w:val="165"/>
      </w:pPr>
      <w:r>
        <w:rPr>
          <w:rFonts w:hint="eastAsia"/>
        </w:rPr>
        <w:t>相关各分项工程之间，必须进行交接检验，所有隐蔽分项工程必须进行隐蔽验收。未经检验或验收不合格的，不得进行下道分项工程。</w:t>
      </w:r>
    </w:p>
    <w:p>
      <w:pPr>
        <w:pStyle w:val="165"/>
      </w:pPr>
      <w:r>
        <w:rPr>
          <w:rFonts w:hint="eastAsia"/>
        </w:rPr>
        <w:t>各种承压管道系统和设备应做水压试验，非承压管道系统和设备应做灌水试验。管道试压应符合GB 50242 及有关标准的规定。设计未注明时，管道系统试验压力应为管道工作压力的1.5倍，且不得小于0.90</w:t>
      </w:r>
      <w:r>
        <w:t xml:space="preserve"> </w:t>
      </w:r>
      <w:r>
        <w:rPr>
          <w:rFonts w:hint="eastAsia"/>
        </w:rPr>
        <w:t>MPa。暗装管道必须隐蔽前试压及验收。对不能参与试压的设备、仪表、阀门及附件应拆除或采取隔离措施。</w:t>
      </w:r>
    </w:p>
    <w:p>
      <w:pPr>
        <w:pStyle w:val="104"/>
        <w:spacing w:before="312" w:after="312"/>
      </w:pPr>
      <w:bookmarkStart w:id="90" w:name="_Toc148526833"/>
      <w:r>
        <w:rPr>
          <w:rFonts w:hint="eastAsia"/>
        </w:rPr>
        <w:t>调试与验收</w:t>
      </w:r>
      <w:bookmarkEnd w:id="90"/>
    </w:p>
    <w:p>
      <w:pPr>
        <w:pStyle w:val="105"/>
        <w:spacing w:before="156" w:after="156"/>
      </w:pPr>
      <w:bookmarkStart w:id="91" w:name="_Toc148526834"/>
      <w:r>
        <w:rPr>
          <w:rFonts w:hint="eastAsia"/>
        </w:rPr>
        <w:t>调试</w:t>
      </w:r>
      <w:bookmarkEnd w:id="91"/>
    </w:p>
    <w:p>
      <w:pPr>
        <w:pStyle w:val="165"/>
      </w:pPr>
      <w:r>
        <w:rPr>
          <w:rFonts w:hint="eastAsia"/>
        </w:rPr>
        <w:t>设施完工后应按设计要求进行系统的通电、通水调试。调试顺序应以先单体后系统、先局部后全面的形式，依次进行二次供水设备的调试。</w:t>
      </w:r>
    </w:p>
    <w:p>
      <w:pPr>
        <w:pStyle w:val="165"/>
      </w:pPr>
      <w:r>
        <w:rPr>
          <w:rFonts w:hint="eastAsia"/>
        </w:rPr>
        <w:t>施工安装单位负责施工范围内的单体设备通电及试运行；系统联动调试应由建设单位负责统一组织。</w:t>
      </w:r>
    </w:p>
    <w:p>
      <w:pPr>
        <w:pStyle w:val="165"/>
      </w:pPr>
      <w:r>
        <w:rPr>
          <w:rFonts w:hint="eastAsia"/>
        </w:rPr>
        <w:t>消毒设备应按照产品说明书进行单体调试。水池（箱）应做满水试验。水泵调试前应将阀门置于相应的通、断位置，并将电控装置逐级通电，工作电压应符合要求。</w:t>
      </w:r>
    </w:p>
    <w:p>
      <w:pPr>
        <w:pStyle w:val="165"/>
      </w:pPr>
      <w:r>
        <w:rPr>
          <w:rFonts w:hint="eastAsia"/>
        </w:rPr>
        <w:t>水泵调试要进行点动及连续运转试验，当泵后压力达到设定值时，对压力、流量、液位等自动控制环节进行人工扰动试验，试验结果均应达到设计要求。</w:t>
      </w:r>
    </w:p>
    <w:p>
      <w:pPr>
        <w:pStyle w:val="165"/>
      </w:pPr>
      <w:r>
        <w:rPr>
          <w:rFonts w:hint="eastAsia"/>
        </w:rPr>
        <w:t>接入智能管理系统后，应完成水泵、电动阀门、门禁和数据参数设置等的控制调试。</w:t>
      </w:r>
    </w:p>
    <w:p>
      <w:pPr>
        <w:pStyle w:val="165"/>
      </w:pPr>
      <w:r>
        <w:rPr>
          <w:rFonts w:hint="eastAsia"/>
        </w:rPr>
        <w:t>设备调试完成后，方可组织对整个二次供水系统进行调试，系统调试模拟运转不应少于30</w:t>
      </w:r>
      <w:r>
        <w:t xml:space="preserve"> </w:t>
      </w:r>
      <w:r>
        <w:rPr>
          <w:rFonts w:hint="eastAsia"/>
        </w:rPr>
        <w:t>min。</w:t>
      </w:r>
    </w:p>
    <w:p>
      <w:pPr>
        <w:pStyle w:val="165"/>
      </w:pPr>
      <w:r>
        <w:rPr>
          <w:rFonts w:hint="eastAsia"/>
        </w:rPr>
        <w:t>系统调试结束后，应对供水设备、管道进行冲洗和消毒。</w:t>
      </w:r>
    </w:p>
    <w:p>
      <w:pPr>
        <w:pStyle w:val="165"/>
      </w:pPr>
      <w:r>
        <w:rPr>
          <w:rFonts w:hint="eastAsia"/>
        </w:rPr>
        <w:t>消毒时，应根据二次供水设施类型和材质选择相应的消毒剂，可采用20mg/L～30mg/L的游离氯消毒液浸泡 24h。冲洗前对系统内易损部件进行保护或临时拆除，冲洗流速应大于1.0</w:t>
      </w:r>
      <w:r>
        <w:t xml:space="preserve"> </w:t>
      </w:r>
      <w:r>
        <w:rPr>
          <w:rFonts w:hint="eastAsia"/>
        </w:rPr>
        <w:t>m/s。</w:t>
      </w:r>
    </w:p>
    <w:p>
      <w:pPr>
        <w:pStyle w:val="165"/>
      </w:pPr>
      <w:r>
        <w:rPr>
          <w:rFonts w:hint="eastAsia"/>
        </w:rPr>
        <w:t>二次供水设施冲洗、消毒后，应取样送检并符合GB 5749的相关规定。</w:t>
      </w:r>
    </w:p>
    <w:p>
      <w:pPr>
        <w:pStyle w:val="105"/>
        <w:spacing w:before="156" w:after="156"/>
      </w:pPr>
      <w:bookmarkStart w:id="92" w:name="_Toc148526835"/>
      <w:r>
        <w:rPr>
          <w:rFonts w:hint="eastAsia"/>
        </w:rPr>
        <w:t>二次供水泵房的验收</w:t>
      </w:r>
      <w:bookmarkEnd w:id="92"/>
    </w:p>
    <w:p>
      <w:pPr>
        <w:pStyle w:val="165"/>
      </w:pPr>
      <w:r>
        <w:rPr>
          <w:rFonts w:hint="eastAsia"/>
        </w:rPr>
        <w:t>供水企业负责协助政府有关部门开展二次供水监督管理工作。在不影响工程正常建设的情况下供水企业可按相关规范标准对二次供水设施的建设过程和建设内容进行质量监督，对建设和施工过程中违反相关规定和规范行为的，应明确提出整改要求，并报建设、供水、卫生行政主管部门依法处理。建设单位配合供水企业的相关质量监督工作并按照要求进行整改。</w:t>
      </w:r>
    </w:p>
    <w:p>
      <w:pPr>
        <w:pStyle w:val="165"/>
      </w:pPr>
      <w:r>
        <w:rPr>
          <w:rFonts w:hint="eastAsia"/>
        </w:rPr>
        <w:t>建设单位</w:t>
      </w:r>
      <w:r>
        <w:t>对违规的项目不整改或整改不合格，未获得供水企业审核通过的，</w:t>
      </w:r>
      <w:r>
        <w:rPr>
          <w:rFonts w:hint="eastAsia"/>
        </w:rPr>
        <w:t>不予</w:t>
      </w:r>
      <w:r>
        <w:t>通过验收</w:t>
      </w:r>
      <w:r>
        <w:rPr>
          <w:rFonts w:hint="eastAsia"/>
        </w:rPr>
        <w:t>。</w:t>
      </w:r>
    </w:p>
    <w:p>
      <w:pPr>
        <w:pStyle w:val="165"/>
      </w:pPr>
      <w:r>
        <w:rPr>
          <w:rFonts w:hint="eastAsia"/>
        </w:rPr>
        <w:t>供水工程安装</w:t>
      </w:r>
      <w:r>
        <w:t>调试检验</w:t>
      </w:r>
      <w:r>
        <w:rPr>
          <w:rFonts w:hint="eastAsia"/>
        </w:rPr>
        <w:t>完成</w:t>
      </w:r>
      <w:r>
        <w:t>后</w:t>
      </w:r>
      <w:r>
        <w:rPr>
          <w:rFonts w:hint="eastAsia"/>
        </w:rPr>
        <w:t>，</w:t>
      </w:r>
      <w:r>
        <w:t>应</w:t>
      </w:r>
      <w:r>
        <w:rPr>
          <w:rFonts w:hint="eastAsia"/>
        </w:rPr>
        <w:t>按照</w:t>
      </w:r>
      <w:r>
        <w:t>以下要求组织竣工验收：</w:t>
      </w:r>
    </w:p>
    <w:p>
      <w:pPr>
        <w:pStyle w:val="132"/>
      </w:pPr>
      <w:r>
        <w:rPr>
          <w:rFonts w:hint="eastAsia"/>
        </w:rPr>
        <w:t>工程质量按GB</w:t>
      </w:r>
      <w:r>
        <w:t xml:space="preserve"> </w:t>
      </w:r>
      <w:r>
        <w:rPr>
          <w:rFonts w:hint="eastAsia"/>
        </w:rPr>
        <w:t>50268、GB</w:t>
      </w:r>
      <w:r>
        <w:t xml:space="preserve"> </w:t>
      </w:r>
      <w:r>
        <w:rPr>
          <w:rFonts w:hint="eastAsia"/>
        </w:rPr>
        <w:t>50242、GB</w:t>
      </w:r>
      <w:r>
        <w:t xml:space="preserve"> </w:t>
      </w:r>
      <w:r>
        <w:rPr>
          <w:rFonts w:hint="eastAsia"/>
        </w:rPr>
        <w:t>50300以及本文件程进行验收；</w:t>
      </w:r>
    </w:p>
    <w:p>
      <w:pPr>
        <w:pStyle w:val="132"/>
      </w:pPr>
      <w:r>
        <w:rPr>
          <w:rFonts w:hint="eastAsia"/>
        </w:rPr>
        <w:t>设备安装按GB 50231进行验收；</w:t>
      </w:r>
    </w:p>
    <w:p>
      <w:pPr>
        <w:pStyle w:val="132"/>
      </w:pPr>
      <w:r>
        <w:rPr>
          <w:rFonts w:hint="eastAsia"/>
        </w:rPr>
        <w:t>电气工程安装按JGJ 46、GB</w:t>
      </w:r>
      <w:r>
        <w:t xml:space="preserve"> </w:t>
      </w:r>
      <w:r>
        <w:rPr>
          <w:rFonts w:hint="eastAsia"/>
        </w:rPr>
        <w:t>50254和GB</w:t>
      </w:r>
      <w:r>
        <w:t xml:space="preserve"> </w:t>
      </w:r>
      <w:r>
        <w:rPr>
          <w:rFonts w:hint="eastAsia"/>
        </w:rPr>
        <w:t>50303的规定进行验收。</w:t>
      </w:r>
    </w:p>
    <w:p>
      <w:pPr>
        <w:pStyle w:val="165"/>
      </w:pPr>
      <w:r>
        <w:rPr>
          <w:rFonts w:hint="eastAsia"/>
        </w:rPr>
        <w:t>泵房未经验收或者验收不合格的，不得挂表供水。</w:t>
      </w:r>
    </w:p>
    <w:p>
      <w:pPr>
        <w:pStyle w:val="165"/>
      </w:pPr>
      <w:r>
        <w:rPr>
          <w:rFonts w:hint="eastAsia"/>
        </w:rPr>
        <w:t>泵房验收前应按原设计要求进行系统的通电、通水调试，贮水容器应做满水试验。</w:t>
      </w:r>
    </w:p>
    <w:p>
      <w:pPr>
        <w:pStyle w:val="165"/>
      </w:pPr>
      <w:r>
        <w:rPr>
          <w:rFonts w:hint="eastAsia"/>
        </w:rPr>
        <w:t>泵房验收前，消毒设备应按照产品说明书进行单体调试。</w:t>
      </w:r>
    </w:p>
    <w:p>
      <w:pPr>
        <w:pStyle w:val="165"/>
      </w:pPr>
      <w:r>
        <w:rPr>
          <w:rFonts w:hint="eastAsia"/>
        </w:rPr>
        <w:t>冲洗、消毒后，系统出水水质各项</w:t>
      </w:r>
      <w:r>
        <w:t>指标</w:t>
      </w:r>
      <w:r>
        <w:rPr>
          <w:rFonts w:hint="eastAsia"/>
        </w:rPr>
        <w:t>应符合GB</w:t>
      </w:r>
      <w:r>
        <w:t xml:space="preserve"> </w:t>
      </w:r>
      <w:r>
        <w:rPr>
          <w:rFonts w:hint="eastAsia"/>
        </w:rPr>
        <w:t>5749的规定。</w:t>
      </w:r>
    </w:p>
    <w:p>
      <w:pPr>
        <w:pStyle w:val="165"/>
      </w:pPr>
      <w:r>
        <w:rPr>
          <w:rFonts w:hint="eastAsia"/>
        </w:rPr>
        <w:t>泵房验收时应提供下列文件资料：</w:t>
      </w:r>
    </w:p>
    <w:p>
      <w:pPr>
        <w:pStyle w:val="132"/>
      </w:pPr>
      <w:r>
        <w:rPr>
          <w:rFonts w:hint="eastAsia"/>
        </w:rPr>
        <w:t>供水公司出具的泵房建设技术方案审核意见书；</w:t>
      </w:r>
    </w:p>
    <w:p>
      <w:pPr>
        <w:pStyle w:val="132"/>
      </w:pPr>
      <w:r>
        <w:rPr>
          <w:rFonts w:hint="eastAsia"/>
        </w:rPr>
        <w:t>泵房的卫生组织管理机构及卫生管理制度；</w:t>
      </w:r>
    </w:p>
    <w:p>
      <w:pPr>
        <w:pStyle w:val="132"/>
      </w:pPr>
      <w:r>
        <w:rPr>
          <w:rFonts w:hint="eastAsia"/>
        </w:rPr>
        <w:t>隐蔽工程验收资料；</w:t>
      </w:r>
    </w:p>
    <w:p>
      <w:pPr>
        <w:pStyle w:val="132"/>
      </w:pPr>
      <w:r>
        <w:rPr>
          <w:rFonts w:hint="eastAsia"/>
        </w:rPr>
        <w:t>工程所包括设备、材料的合格证、质保卡说明书等相关资料；</w:t>
      </w:r>
    </w:p>
    <w:p>
      <w:pPr>
        <w:pStyle w:val="132"/>
      </w:pPr>
      <w:r>
        <w:rPr>
          <w:rFonts w:hint="eastAsia"/>
        </w:rPr>
        <w:t>涉水产品的卫生许可证（二次供水设施及管材）；</w:t>
      </w:r>
    </w:p>
    <w:p>
      <w:pPr>
        <w:pStyle w:val="132"/>
      </w:pPr>
      <w:r>
        <w:rPr>
          <w:rFonts w:hint="eastAsia"/>
        </w:rPr>
        <w:t>二次供水系统试压、冲洗、消毒、调试检查记录；</w:t>
      </w:r>
    </w:p>
    <w:p>
      <w:pPr>
        <w:pStyle w:val="132"/>
      </w:pPr>
      <w:r>
        <w:rPr>
          <w:rFonts w:hint="eastAsia"/>
        </w:rPr>
        <w:t>水质检测报告；</w:t>
      </w:r>
    </w:p>
    <w:p>
      <w:pPr>
        <w:pStyle w:val="132"/>
      </w:pPr>
      <w:r>
        <w:rPr>
          <w:rFonts w:hint="eastAsia"/>
        </w:rPr>
        <w:t>工程质量评定表；</w:t>
      </w:r>
    </w:p>
    <w:p>
      <w:pPr>
        <w:pStyle w:val="132"/>
      </w:pPr>
      <w:r>
        <w:rPr>
          <w:rFonts w:hint="eastAsia"/>
        </w:rPr>
        <w:t>建设工程规划许可证；</w:t>
      </w:r>
    </w:p>
    <w:p>
      <w:pPr>
        <w:pStyle w:val="132"/>
      </w:pPr>
      <w:r>
        <w:rPr>
          <w:rFonts w:hint="eastAsia"/>
        </w:rPr>
        <w:t>水池（箱）平面及剖面图；水池（箱）的闭水实验验收合格单；水箱结构安装图；</w:t>
      </w:r>
    </w:p>
    <w:p>
      <w:pPr>
        <w:pStyle w:val="132"/>
      </w:pPr>
      <w:r>
        <w:rPr>
          <w:rFonts w:hint="eastAsia"/>
        </w:rPr>
        <w:t>给水泵房平面及剖面图；</w:t>
      </w:r>
    </w:p>
    <w:p>
      <w:pPr>
        <w:pStyle w:val="132"/>
      </w:pPr>
      <w:r>
        <w:rPr>
          <w:rFonts w:hint="eastAsia"/>
        </w:rPr>
        <w:t>给水泵房、水池（箱）的所在层平面图，给水系统图。</w:t>
      </w:r>
    </w:p>
    <w:p>
      <w:pPr>
        <w:pStyle w:val="165"/>
      </w:pPr>
      <w:r>
        <w:rPr>
          <w:rFonts w:hint="eastAsia"/>
        </w:rPr>
        <w:t>泵房验收时的重点检查项目包括：</w:t>
      </w:r>
    </w:p>
    <w:p>
      <w:pPr>
        <w:pStyle w:val="132"/>
      </w:pPr>
      <w:r>
        <w:rPr>
          <w:rFonts w:hint="eastAsia"/>
        </w:rPr>
        <w:t>电源的可靠性；</w:t>
      </w:r>
    </w:p>
    <w:p>
      <w:pPr>
        <w:pStyle w:val="132"/>
      </w:pPr>
      <w:r>
        <w:rPr>
          <w:rFonts w:hint="eastAsia"/>
        </w:rPr>
        <w:t>水泵机组运行状况和扬程、流量等参数；</w:t>
      </w:r>
    </w:p>
    <w:p>
      <w:pPr>
        <w:pStyle w:val="132"/>
      </w:pPr>
      <w:r>
        <w:rPr>
          <w:rFonts w:hint="eastAsia"/>
        </w:rPr>
        <w:t>供水管网水压达到设定值时，系统的可靠性；</w:t>
      </w:r>
    </w:p>
    <w:p>
      <w:pPr>
        <w:pStyle w:val="132"/>
      </w:pPr>
      <w:r>
        <w:rPr>
          <w:rFonts w:hint="eastAsia"/>
        </w:rPr>
        <w:t>管道、管件、设备的材质与设计要求的一致性；</w:t>
      </w:r>
    </w:p>
    <w:p>
      <w:pPr>
        <w:pStyle w:val="132"/>
      </w:pPr>
      <w:r>
        <w:rPr>
          <w:rFonts w:hint="eastAsia"/>
        </w:rPr>
        <w:t xml:space="preserve">设备显示仪表的准确度； </w:t>
      </w:r>
    </w:p>
    <w:p>
      <w:pPr>
        <w:pStyle w:val="132"/>
      </w:pPr>
      <w:r>
        <w:rPr>
          <w:rFonts w:hint="eastAsia"/>
        </w:rPr>
        <w:t>设备控制的功能，数据传输的质量，接入信息管理系统的数据格式是否符合要求；</w:t>
      </w:r>
    </w:p>
    <w:p>
      <w:pPr>
        <w:pStyle w:val="132"/>
      </w:pPr>
      <w:r>
        <w:rPr>
          <w:rFonts w:hint="eastAsia"/>
        </w:rPr>
        <w:t xml:space="preserve">设备控制与数据传输的功能； </w:t>
      </w:r>
    </w:p>
    <w:p>
      <w:pPr>
        <w:pStyle w:val="132"/>
      </w:pPr>
      <w:r>
        <w:rPr>
          <w:rFonts w:hint="eastAsia"/>
        </w:rPr>
        <w:t xml:space="preserve">设备接地、防雷等保护功能； </w:t>
      </w:r>
    </w:p>
    <w:p>
      <w:pPr>
        <w:pStyle w:val="132"/>
      </w:pPr>
      <w:r>
        <w:rPr>
          <w:rFonts w:hint="eastAsia"/>
        </w:rPr>
        <w:t xml:space="preserve">水池（箱）的材质与设置； </w:t>
      </w:r>
    </w:p>
    <w:p>
      <w:pPr>
        <w:pStyle w:val="132"/>
      </w:pPr>
      <w:r>
        <w:rPr>
          <w:rFonts w:hint="eastAsia"/>
        </w:rPr>
        <w:t>供水设备的排水、通风、保温等环境状况；</w:t>
      </w:r>
    </w:p>
    <w:p>
      <w:pPr>
        <w:pStyle w:val="132"/>
      </w:pPr>
      <w:r>
        <w:rPr>
          <w:rFonts w:hint="eastAsia"/>
        </w:rPr>
        <w:t>防回流污染设施的安全性；</w:t>
      </w:r>
    </w:p>
    <w:p>
      <w:pPr>
        <w:pStyle w:val="132"/>
      </w:pPr>
      <w:r>
        <w:rPr>
          <w:rFonts w:hint="eastAsia"/>
        </w:rPr>
        <w:t>供水设备的减振措施及环境噪声的控制；</w:t>
      </w:r>
    </w:p>
    <w:p>
      <w:pPr>
        <w:pStyle w:val="132"/>
      </w:pPr>
      <w:r>
        <w:rPr>
          <w:rFonts w:hint="eastAsia"/>
        </w:rPr>
        <w:t>消毒设备的安全运行；</w:t>
      </w:r>
    </w:p>
    <w:p>
      <w:pPr>
        <w:pStyle w:val="132"/>
      </w:pPr>
      <w:r>
        <w:rPr>
          <w:rFonts w:hint="eastAsia"/>
        </w:rPr>
        <w:t>CJJ 140-2010的强制性条文。</w:t>
      </w:r>
    </w:p>
    <w:p>
      <w:pPr>
        <w:pStyle w:val="105"/>
        <w:spacing w:before="156" w:after="156"/>
        <w:rPr>
          <w:color w:val="FF0000"/>
        </w:rPr>
      </w:pPr>
      <w:bookmarkStart w:id="93" w:name="_Toc148526836"/>
      <w:r>
        <w:rPr>
          <w:rFonts w:hint="eastAsia"/>
        </w:rPr>
        <w:t>验收</w:t>
      </w:r>
      <w:r>
        <w:t>要求</w:t>
      </w:r>
      <w:bookmarkEnd w:id="93"/>
    </w:p>
    <w:p>
      <w:pPr>
        <w:pStyle w:val="165"/>
      </w:pPr>
      <w:r>
        <w:rPr>
          <w:rFonts w:hint="eastAsia"/>
        </w:rPr>
        <w:t>竣工验收时应重点检查下列项目:</w:t>
      </w:r>
    </w:p>
    <w:p>
      <w:pPr>
        <w:pStyle w:val="132"/>
      </w:pPr>
      <w:r>
        <w:rPr>
          <w:rFonts w:hint="eastAsia"/>
        </w:rPr>
        <w:t>电源的可靠性；</w:t>
      </w:r>
    </w:p>
    <w:p>
      <w:pPr>
        <w:pStyle w:val="132"/>
      </w:pPr>
      <w:r>
        <w:rPr>
          <w:rFonts w:hint="eastAsia"/>
        </w:rPr>
        <w:t>水泵机组运行状况和扬程、流量等参数；</w:t>
      </w:r>
    </w:p>
    <w:p>
      <w:pPr>
        <w:pStyle w:val="132"/>
      </w:pPr>
      <w:r>
        <w:rPr>
          <w:rFonts w:hint="eastAsia"/>
        </w:rPr>
        <w:t>供水管网水压达到设定值时，系统的可靠性；</w:t>
      </w:r>
    </w:p>
    <w:p>
      <w:pPr>
        <w:pStyle w:val="132"/>
      </w:pPr>
      <w:r>
        <w:rPr>
          <w:rFonts w:hint="eastAsia"/>
        </w:rPr>
        <w:t>管道、管件、设备的材质与设计要求的一致性。</w:t>
      </w:r>
    </w:p>
    <w:p>
      <w:pPr>
        <w:pStyle w:val="165"/>
      </w:pPr>
      <w:r>
        <w:rPr>
          <w:rFonts w:hint="eastAsia"/>
        </w:rPr>
        <w:t>供水工程竣工验收时，建设单位应提供以下文件资料：</w:t>
      </w:r>
    </w:p>
    <w:p>
      <w:pPr>
        <w:pStyle w:val="132"/>
      </w:pPr>
      <w:r>
        <w:rPr>
          <w:rFonts w:hint="eastAsia"/>
        </w:rPr>
        <w:t>施工图、竣工图及设计变更文件；</w:t>
      </w:r>
    </w:p>
    <w:p>
      <w:pPr>
        <w:pStyle w:val="132"/>
      </w:pPr>
      <w:r>
        <w:rPr>
          <w:rFonts w:hint="eastAsia"/>
        </w:rPr>
        <w:t>隐蔽工程验收资料；</w:t>
      </w:r>
    </w:p>
    <w:p>
      <w:pPr>
        <w:pStyle w:val="132"/>
      </w:pPr>
      <w:r>
        <w:rPr>
          <w:rFonts w:hint="eastAsia"/>
        </w:rPr>
        <w:t>工程所包括设备、材料的合格证、质保卡、说明书等相关资料；</w:t>
      </w:r>
    </w:p>
    <w:p>
      <w:pPr>
        <w:pStyle w:val="132"/>
      </w:pPr>
      <w:r>
        <w:rPr>
          <w:rFonts w:hint="eastAsia"/>
        </w:rPr>
        <w:t>涉水产品的卫生许可；</w:t>
      </w:r>
    </w:p>
    <w:p>
      <w:pPr>
        <w:pStyle w:val="132"/>
      </w:pPr>
      <w:r>
        <w:rPr>
          <w:rFonts w:hint="eastAsia"/>
        </w:rPr>
        <w:t>系统试压、冲洗、消毒、调试检查记录；</w:t>
      </w:r>
    </w:p>
    <w:p>
      <w:pPr>
        <w:pStyle w:val="132"/>
      </w:pPr>
      <w:r>
        <w:rPr>
          <w:rFonts w:hint="eastAsia"/>
        </w:rPr>
        <w:t>水质检测报告；</w:t>
      </w:r>
    </w:p>
    <w:p>
      <w:pPr>
        <w:pStyle w:val="132"/>
      </w:pPr>
      <w:r>
        <w:rPr>
          <w:rFonts w:hint="eastAsia"/>
        </w:rPr>
        <w:t>环境噪声监测报告；</w:t>
      </w:r>
    </w:p>
    <w:p>
      <w:pPr>
        <w:pStyle w:val="132"/>
      </w:pPr>
      <w:r>
        <w:rPr>
          <w:rFonts w:hint="eastAsia"/>
        </w:rPr>
        <w:t>工程质量评定表。</w:t>
      </w:r>
    </w:p>
    <w:p>
      <w:pPr>
        <w:pStyle w:val="165"/>
      </w:pPr>
      <w:r>
        <w:rPr>
          <w:rFonts w:hint="eastAsia"/>
        </w:rPr>
        <w:t>验收隐蔽工程，应填写中间验收记录表。</w:t>
      </w:r>
    </w:p>
    <w:p>
      <w:pPr>
        <w:pStyle w:val="165"/>
      </w:pPr>
      <w:r>
        <w:rPr>
          <w:rFonts w:hint="eastAsia"/>
        </w:rPr>
        <w:t>竣工验收时，应核实竣工验收资料，并进行必要的复验和外观检查，同时填写竣工验收报告。</w:t>
      </w:r>
    </w:p>
    <w:p>
      <w:pPr>
        <w:pStyle w:val="165"/>
      </w:pPr>
      <w:r>
        <w:rPr>
          <w:rFonts w:hint="eastAsia"/>
        </w:rPr>
        <w:t>“一户一表”工程应与建筑给水工程同时竣工验收，必要时也可作为单项工程进行验收。</w:t>
      </w:r>
    </w:p>
    <w:p>
      <w:pPr>
        <w:pStyle w:val="165"/>
      </w:pPr>
      <w:r>
        <w:rPr>
          <w:rFonts w:hint="eastAsia"/>
        </w:rPr>
        <w:t>水池、水箱应做满水试验，静置24小时观察，不渗漏。水池使用3年以上的应采用容积法进行漏水检查试验。</w:t>
      </w:r>
    </w:p>
    <w:p>
      <w:pPr>
        <w:pStyle w:val="165"/>
      </w:pPr>
      <w:r>
        <w:rPr>
          <w:rFonts w:hint="eastAsia"/>
        </w:rPr>
        <w:t>新装给水管道工程和二次供水水质各项指标应符合GB 5749的规定。供水水样的采集、保存，运输和检验应符合GB/T 5750的规定。</w:t>
      </w:r>
    </w:p>
    <w:p>
      <w:pPr>
        <w:pStyle w:val="165"/>
      </w:pPr>
      <w:r>
        <w:rPr>
          <w:rFonts w:hint="eastAsia"/>
        </w:rPr>
        <w:t>验收程序</w:t>
      </w:r>
    </w:p>
    <w:p>
      <w:pPr>
        <w:pStyle w:val="165"/>
      </w:pPr>
      <w:r>
        <w:rPr>
          <w:rFonts w:hint="eastAsia"/>
        </w:rPr>
        <w:t>验收程序包括：</w:t>
      </w:r>
    </w:p>
    <w:p>
      <w:pPr>
        <w:pStyle w:val="132"/>
      </w:pPr>
      <w:r>
        <w:rPr>
          <w:rFonts w:hint="eastAsia"/>
        </w:rPr>
        <w:t>验收申请；</w:t>
      </w:r>
    </w:p>
    <w:p>
      <w:pPr>
        <w:pStyle w:val="132"/>
      </w:pPr>
      <w:r>
        <w:rPr>
          <w:rFonts w:hint="eastAsia"/>
        </w:rPr>
        <w:t>资料</w:t>
      </w:r>
      <w:r>
        <w:t>审核；</w:t>
      </w:r>
    </w:p>
    <w:p>
      <w:pPr>
        <w:pStyle w:val="132"/>
      </w:pPr>
      <w:r>
        <w:rPr>
          <w:rFonts w:hint="eastAsia"/>
        </w:rPr>
        <w:t>现场验收；</w:t>
      </w:r>
    </w:p>
    <w:p>
      <w:pPr>
        <w:pStyle w:val="132"/>
      </w:pPr>
      <w:r>
        <w:rPr>
          <w:rFonts w:hint="eastAsia"/>
        </w:rPr>
        <w:t>出具验收意见表（见附录Ｅ）。</w:t>
      </w:r>
    </w:p>
    <w:p>
      <w:pPr>
        <w:pStyle w:val="165"/>
      </w:pPr>
      <w:r>
        <w:rPr>
          <w:rFonts w:hint="eastAsia"/>
        </w:rPr>
        <w:t>工程竣工验收后，建设单位应将有关设计、施工及验收的文件和技术资料立卷归档。</w:t>
      </w:r>
    </w:p>
    <w:p>
      <w:pPr>
        <w:pStyle w:val="165"/>
      </w:pPr>
      <w:r>
        <w:rPr>
          <w:rFonts w:hint="eastAsia"/>
        </w:rPr>
        <w:t>现场验收不符合要求的，应要求施工单位限期整改；资料不符合要求的，应要求施工单位进行</w:t>
      </w:r>
    </w:p>
    <w:p>
      <w:pPr>
        <w:pStyle w:val="165"/>
        <w:numPr>
          <w:ilvl w:val="3"/>
          <w:numId w:val="0"/>
        </w:numPr>
      </w:pPr>
      <w:r>
        <w:rPr>
          <w:rFonts w:hint="eastAsia"/>
        </w:rPr>
        <w:t>修改完善，直至所有验收项目符合要求后，方能通过验收并签字确认。</w:t>
      </w:r>
    </w:p>
    <w:p>
      <w:pPr>
        <w:pStyle w:val="165"/>
      </w:pPr>
      <w:r>
        <w:rPr>
          <w:rFonts w:hint="eastAsia"/>
        </w:rPr>
        <w:t>提标改造</w:t>
      </w:r>
      <w:r>
        <w:t>工程</w:t>
      </w:r>
      <w:r>
        <w:rPr>
          <w:rFonts w:hint="eastAsia"/>
        </w:rPr>
        <w:t>竣工</w:t>
      </w:r>
      <w:r>
        <w:t>验收合格，申请移交供水单位管理的，应办理移交手续，</w:t>
      </w:r>
      <w:r>
        <w:rPr>
          <w:rFonts w:hint="eastAsia"/>
        </w:rPr>
        <w:t>移交</w:t>
      </w:r>
      <w:r>
        <w:t>材料</w:t>
      </w:r>
      <w:r>
        <w:rPr>
          <w:rFonts w:hint="eastAsia"/>
        </w:rPr>
        <w:t>应</w:t>
      </w:r>
      <w:r>
        <w:t>包含</w:t>
      </w:r>
      <w:r>
        <w:rPr>
          <w:rFonts w:hint="eastAsia"/>
        </w:rPr>
        <w:t>：二次供水设施提标改造移交验收记录表（见附录Ｄ）、泵房工程质量保修书（范本）（见附录Ｆ）、二次供水设施委托运营协议（范本）（见附录Ｇ）、技术档案送审表（见附录Ｈ）、技术档案移交书（见附录Ｉ）。</w:t>
      </w:r>
    </w:p>
    <w:p>
      <w:pPr>
        <w:pStyle w:val="104"/>
        <w:spacing w:before="312" w:after="312"/>
      </w:pPr>
      <w:bookmarkStart w:id="94" w:name="_Toc148526837"/>
      <w:r>
        <w:rPr>
          <w:rFonts w:hint="eastAsia"/>
        </w:rPr>
        <w:t>设备设施运行</w:t>
      </w:r>
      <w:r>
        <w:t>与维护</w:t>
      </w:r>
      <w:r>
        <w:rPr>
          <w:rFonts w:hint="eastAsia"/>
        </w:rPr>
        <w:t>管理</w:t>
      </w:r>
      <w:bookmarkEnd w:id="94"/>
    </w:p>
    <w:p>
      <w:pPr>
        <w:pStyle w:val="105"/>
        <w:spacing w:before="156" w:after="156"/>
      </w:pPr>
      <w:bookmarkStart w:id="95" w:name="_Toc148526838"/>
      <w:r>
        <w:rPr>
          <w:rFonts w:hint="eastAsia"/>
        </w:rPr>
        <w:t>一般</w:t>
      </w:r>
      <w:r>
        <w:t>规定</w:t>
      </w:r>
      <w:bookmarkEnd w:id="95"/>
    </w:p>
    <w:p>
      <w:pPr>
        <w:pStyle w:val="165"/>
      </w:pPr>
      <w:r>
        <w:rPr>
          <w:rFonts w:hint="eastAsia"/>
        </w:rPr>
        <w:t>运营管理单位应设有专门的管理部门，配备专业的管理人员。操作人员应持有健康证明及相应专业资格证书。</w:t>
      </w:r>
    </w:p>
    <w:p>
      <w:pPr>
        <w:pStyle w:val="165"/>
      </w:pPr>
      <w:r>
        <w:rPr>
          <w:rFonts w:hint="eastAsia"/>
        </w:rPr>
        <w:t>运行维护应满足下列要求:</w:t>
      </w:r>
    </w:p>
    <w:p>
      <w:pPr>
        <w:pStyle w:val="174"/>
        <w:numPr>
          <w:ilvl w:val="0"/>
          <w:numId w:val="56"/>
        </w:numPr>
      </w:pPr>
      <w:r>
        <w:rPr>
          <w:rFonts w:hint="eastAsia"/>
        </w:rPr>
        <w:t>实施专业化管理；</w:t>
      </w:r>
    </w:p>
    <w:p>
      <w:pPr>
        <w:pStyle w:val="174"/>
      </w:pPr>
      <w:r>
        <w:rPr>
          <w:rFonts w:hint="eastAsia"/>
        </w:rPr>
        <w:t>宜采用远程监控管理。</w:t>
      </w:r>
    </w:p>
    <w:p>
      <w:pPr>
        <w:pStyle w:val="165"/>
      </w:pPr>
      <w:r>
        <w:rPr>
          <w:rFonts w:hint="eastAsia"/>
        </w:rPr>
        <w:t>应制定管理制度、作业指导书和应急预案等。管理制度应包括设备设施保养维修、水池（箱）清洗、水质管理、平台系统管理、用户报修处理、操作人员技能培训及考核、档案信息及报表管理等内容。设备运行操作规程应包括操作人员资质、操作要求、操作程序、故障处理、安全生产和日常维护保养要求等内容。</w:t>
      </w:r>
    </w:p>
    <w:p>
      <w:pPr>
        <w:pStyle w:val="165"/>
      </w:pPr>
      <w:r>
        <w:rPr>
          <w:rFonts w:hint="eastAsia"/>
        </w:rPr>
        <w:t>宜采用在线监控及人工巡检等运行管理方式。</w:t>
      </w:r>
    </w:p>
    <w:p>
      <w:pPr>
        <w:pStyle w:val="165"/>
      </w:pPr>
      <w:r>
        <w:rPr>
          <w:rFonts w:hint="eastAsia"/>
        </w:rPr>
        <w:t>应建立健全供水设施基础信息、运行维护信息档案，及时、准确、完整地记录日常运行维护的数据信息。</w:t>
      </w:r>
    </w:p>
    <w:p>
      <w:pPr>
        <w:pStyle w:val="165"/>
      </w:pPr>
      <w:r>
        <w:rPr>
          <w:rFonts w:hint="eastAsia"/>
        </w:rPr>
        <w:t>监测调度中心管理人员应时刻关注供水泵房内各设备的运行状态和数据，对异常状况和数据、报警信息提示时，应及时处理。</w:t>
      </w:r>
    </w:p>
    <w:p>
      <w:pPr>
        <w:pStyle w:val="165"/>
      </w:pPr>
      <w:r>
        <w:rPr>
          <w:rFonts w:hint="eastAsia"/>
        </w:rPr>
        <w:t>遇到水质污染、市政管网水量供给不足、发生自然灾害、泵房淹没、机电设备重大故障、供电系统出现故障、恐怖袭击等影响正常供水服务的突发性事件，二次供水服务单位应按二次供水应急预案要求采取相应措施提供服务。</w:t>
      </w:r>
    </w:p>
    <w:p>
      <w:pPr>
        <w:pStyle w:val="105"/>
        <w:spacing w:before="156" w:after="156"/>
      </w:pPr>
      <w:bookmarkStart w:id="96" w:name="_Toc148526839"/>
      <w:r>
        <w:rPr>
          <w:rFonts w:hint="eastAsia"/>
        </w:rPr>
        <w:t>运行</w:t>
      </w:r>
      <w:bookmarkEnd w:id="96"/>
    </w:p>
    <w:p>
      <w:pPr>
        <w:pStyle w:val="165"/>
      </w:pPr>
      <w:r>
        <w:rPr>
          <w:rFonts w:hint="eastAsia"/>
        </w:rPr>
        <w:t>运行管理人员应定期巡检设施运行及室外埋地管网，严禁在泵房、水池（箱）周围堆放杂物，不得在管线上压、埋、围、占，及时制止和消除影响供水安全的因素。</w:t>
      </w:r>
    </w:p>
    <w:p>
      <w:pPr>
        <w:pStyle w:val="165"/>
      </w:pPr>
      <w:r>
        <w:rPr>
          <w:rFonts w:hint="eastAsia"/>
        </w:rPr>
        <w:t>二次供水运行管理单位应定期对水质进行检验，检验结果应进行公示。</w:t>
      </w:r>
    </w:p>
    <w:p>
      <w:pPr>
        <w:pStyle w:val="165"/>
      </w:pPr>
      <w:r>
        <w:rPr>
          <w:rFonts w:hint="eastAsia"/>
        </w:rPr>
        <w:t>二次供水设施巡检应符合下列规定：</w:t>
      </w:r>
    </w:p>
    <w:p>
      <w:pPr>
        <w:pStyle w:val="132"/>
      </w:pPr>
      <w:r>
        <w:rPr>
          <w:rFonts w:hint="eastAsia"/>
        </w:rPr>
        <w:t>应制定巡检计划。巡检时，应首先观察泵房外部环境，查看门窗是否完好；</w:t>
      </w:r>
    </w:p>
    <w:p>
      <w:pPr>
        <w:pStyle w:val="132"/>
      </w:pPr>
      <w:r>
        <w:rPr>
          <w:rFonts w:hint="eastAsia"/>
        </w:rPr>
        <w:t>检查照明设施是否完好，排风系统是否工作正常；</w:t>
      </w:r>
    </w:p>
    <w:p>
      <w:pPr>
        <w:pStyle w:val="132"/>
      </w:pPr>
      <w:r>
        <w:rPr>
          <w:rFonts w:hint="eastAsia"/>
        </w:rPr>
        <w:t>检查供水工艺系统设施有无变形、泄漏；</w:t>
      </w:r>
    </w:p>
    <w:p>
      <w:pPr>
        <w:pStyle w:val="132"/>
      </w:pPr>
      <w:r>
        <w:rPr>
          <w:rFonts w:hint="eastAsia"/>
        </w:rPr>
        <w:t>检查各种仪表运转是否正常，各种指示灯显示是否正常，并做好记录；</w:t>
      </w:r>
    </w:p>
    <w:p>
      <w:pPr>
        <w:pStyle w:val="132"/>
      </w:pPr>
      <w:r>
        <w:rPr>
          <w:rFonts w:hint="eastAsia"/>
        </w:rPr>
        <w:t>发现系统压力变化异常时，应及时分析调整；</w:t>
      </w:r>
    </w:p>
    <w:p>
      <w:pPr>
        <w:pStyle w:val="132"/>
      </w:pPr>
      <w:r>
        <w:rPr>
          <w:rFonts w:hint="eastAsia"/>
        </w:rPr>
        <w:t>检查水泵机组，仔细辨听水流声、电磁噪声、机械噪声等运行中的声响对机组产生的异常噪声做出判断；</w:t>
      </w:r>
    </w:p>
    <w:p>
      <w:pPr>
        <w:pStyle w:val="132"/>
      </w:pPr>
      <w:r>
        <w:rPr>
          <w:rFonts w:hint="eastAsia"/>
        </w:rPr>
        <w:t>检查消毒灭菌装置的工作状态及故障指示；</w:t>
      </w:r>
    </w:p>
    <w:p>
      <w:pPr>
        <w:pStyle w:val="132"/>
      </w:pPr>
      <w:r>
        <w:rPr>
          <w:rFonts w:hint="eastAsia"/>
        </w:rPr>
        <w:t>查看水箱液位指示及波动情况；</w:t>
      </w:r>
    </w:p>
    <w:p>
      <w:pPr>
        <w:pStyle w:val="132"/>
      </w:pPr>
      <w:r>
        <w:rPr>
          <w:rFonts w:hint="eastAsia"/>
        </w:rPr>
        <w:t>检查进、出水阀门（含阀门井）及管道。</w:t>
      </w:r>
    </w:p>
    <w:p>
      <w:pPr>
        <w:pStyle w:val="165"/>
      </w:pPr>
      <w:r>
        <w:rPr>
          <w:rFonts w:hint="eastAsia"/>
        </w:rPr>
        <w:t>贮水及水处理设施运行应符合下列规定：</w:t>
      </w:r>
    </w:p>
    <w:p>
      <w:pPr>
        <w:pStyle w:val="132"/>
      </w:pPr>
      <w:r>
        <w:rPr>
          <w:rFonts w:hint="eastAsia"/>
        </w:rPr>
        <w:t>委托依法设立的清洗消毒机构对二次供水储水设施定期进行清洗消毒，每半年不得少于1次；</w:t>
      </w:r>
    </w:p>
    <w:p>
      <w:pPr>
        <w:pStyle w:val="132"/>
      </w:pPr>
      <w:r>
        <w:rPr>
          <w:rFonts w:hint="eastAsia"/>
        </w:rPr>
        <w:t>委托水质检测机构进行二次供水水质检测（每季度不少于1次，其中含清洗消毒后的水质检测）；</w:t>
      </w:r>
    </w:p>
    <w:p>
      <w:pPr>
        <w:pStyle w:val="132"/>
      </w:pPr>
      <w:r>
        <w:rPr>
          <w:rFonts w:hint="eastAsia"/>
        </w:rPr>
        <w:t>水池（箱）所使用的消毒剂应取得卫生行政部门的卫生许可（不需要许可的应有卫生安全评价报告）；</w:t>
      </w:r>
    </w:p>
    <w:p>
      <w:pPr>
        <w:pStyle w:val="132"/>
      </w:pPr>
      <w:r>
        <w:rPr>
          <w:rFonts w:hint="eastAsia"/>
        </w:rPr>
        <w:t>水池（箱）周围10</w:t>
      </w:r>
      <w:r>
        <w:t xml:space="preserve"> </w:t>
      </w:r>
      <w:r>
        <w:rPr>
          <w:rFonts w:hint="eastAsia"/>
        </w:rPr>
        <w:t>m以内不应有渗水坑，不应有垃圾等污染源。水箱周围2</w:t>
      </w:r>
      <w:r>
        <w:t xml:space="preserve"> </w:t>
      </w:r>
      <w:r>
        <w:rPr>
          <w:rFonts w:hint="eastAsia"/>
        </w:rPr>
        <w:t>m内不应有污水管线及污染物；</w:t>
      </w:r>
    </w:p>
    <w:p>
      <w:pPr>
        <w:pStyle w:val="132"/>
      </w:pPr>
      <w:r>
        <w:rPr>
          <w:rFonts w:hint="eastAsia"/>
        </w:rPr>
        <w:t>水池（箱）应当加盖上锁，加网罩，设隔离护栏，钥匙由专人保管；</w:t>
      </w:r>
    </w:p>
    <w:p>
      <w:pPr>
        <w:pStyle w:val="132"/>
      </w:pPr>
      <w:r>
        <w:rPr>
          <w:rFonts w:hint="eastAsia"/>
        </w:rPr>
        <w:t>水池（箱）应有液位控制装置和压力变送器，超高液位时应自动报警、超低液位时应自动停机。</w:t>
      </w:r>
    </w:p>
    <w:p>
      <w:pPr>
        <w:pStyle w:val="165"/>
      </w:pPr>
      <w:r>
        <w:rPr>
          <w:rFonts w:hint="eastAsia"/>
        </w:rPr>
        <w:t>水池（箱）房的管理应符合下列要求:</w:t>
      </w:r>
    </w:p>
    <w:p>
      <w:pPr>
        <w:pStyle w:val="132"/>
      </w:pPr>
      <w:r>
        <w:rPr>
          <w:rFonts w:hint="eastAsia"/>
        </w:rPr>
        <w:t>水池（箱）人孔必须加盖，封闭严密；</w:t>
      </w:r>
    </w:p>
    <w:p>
      <w:pPr>
        <w:pStyle w:val="132"/>
      </w:pPr>
      <w:r>
        <w:rPr>
          <w:rFonts w:hint="eastAsia"/>
        </w:rPr>
        <w:t>水池（箱）溢流管，宜采用水平喇叭口集水；溢流管出口应设置耐腐蚀材料滤网的防虫网罩，并应与排水系统有不小于0.2 m的空气间隙，不得直接连接；</w:t>
      </w:r>
    </w:p>
    <w:p>
      <w:pPr>
        <w:pStyle w:val="132"/>
      </w:pPr>
      <w:r>
        <w:rPr>
          <w:rFonts w:hint="eastAsia"/>
        </w:rPr>
        <w:t>每月应定期检查排水畅通情况，有无堵塞现象。汛期应在汛前、雨前、雨后增加检查，保证排水通畅。</w:t>
      </w:r>
    </w:p>
    <w:p>
      <w:pPr>
        <w:pStyle w:val="165"/>
      </w:pPr>
      <w:r>
        <w:rPr>
          <w:rFonts w:hint="eastAsia"/>
        </w:rPr>
        <w:t>水泵运行应符合下列规定：</w:t>
      </w:r>
    </w:p>
    <w:p>
      <w:pPr>
        <w:pStyle w:val="132"/>
      </w:pPr>
      <w:r>
        <w:rPr>
          <w:rFonts w:hint="eastAsia"/>
        </w:rPr>
        <w:t>进水水位不应低于规定的最低水位；</w:t>
      </w:r>
    </w:p>
    <w:p>
      <w:pPr>
        <w:pStyle w:val="132"/>
      </w:pPr>
      <w:r>
        <w:rPr>
          <w:rFonts w:hint="eastAsia"/>
        </w:rPr>
        <w:t>除水泵机械密封及其他无泄漏密封外，填料室应有水滴出。</w:t>
      </w:r>
    </w:p>
    <w:p>
      <w:pPr>
        <w:pStyle w:val="165"/>
      </w:pPr>
      <w:r>
        <w:rPr>
          <w:rFonts w:hint="eastAsia"/>
        </w:rPr>
        <w:t>泵房的运行管理应符合下列要求：</w:t>
      </w:r>
    </w:p>
    <w:p>
      <w:pPr>
        <w:pStyle w:val="132"/>
      </w:pPr>
      <w:r>
        <w:rPr>
          <w:rFonts w:hint="eastAsia"/>
        </w:rPr>
        <w:t>每月应定期检查泵房内的水池（箱） 的液位控制系统、消毒设施设备、各类仪表、阀门井等，保证阀门井盖不缺失、阀门不漏水: 自动排气阀、倒流防止器等设施设备运行正常；</w:t>
      </w:r>
    </w:p>
    <w:p>
      <w:pPr>
        <w:pStyle w:val="132"/>
      </w:pPr>
      <w:r>
        <w:rPr>
          <w:rFonts w:hint="eastAsia"/>
        </w:rPr>
        <w:t>泵房内应保持干净、整洁、通风。严禁存放有毒有害，易燃，易爆、易腐蚀及可能造成环境污染的物品；</w:t>
      </w:r>
    </w:p>
    <w:p>
      <w:pPr>
        <w:pStyle w:val="132"/>
      </w:pPr>
      <w:r>
        <w:rPr>
          <w:rFonts w:hint="eastAsia"/>
        </w:rPr>
        <w:t>非值班人员需要进入泵房，应经主管领导批准，并由值班人员陪同；</w:t>
      </w:r>
    </w:p>
    <w:p>
      <w:pPr>
        <w:pStyle w:val="132"/>
      </w:pPr>
      <w:r>
        <w:rPr>
          <w:rFonts w:hint="eastAsia"/>
        </w:rPr>
        <w:t>水泵房内应备齐消防器材并应放置在方便取用处；</w:t>
      </w:r>
    </w:p>
    <w:p>
      <w:pPr>
        <w:pStyle w:val="132"/>
      </w:pPr>
      <w:r>
        <w:rPr>
          <w:rFonts w:hint="eastAsia"/>
        </w:rPr>
        <w:t>水泵房应保持锁闭状态，钥匙由值班人员保管，不得转借他人。</w:t>
      </w:r>
    </w:p>
    <w:p>
      <w:pPr>
        <w:pStyle w:val="165"/>
      </w:pPr>
      <w:r>
        <w:rPr>
          <w:rFonts w:hint="eastAsia"/>
        </w:rPr>
        <w:t>叠压（无负压）供水设备运行应符合下列规定:</w:t>
      </w:r>
    </w:p>
    <w:p>
      <w:pPr>
        <w:pStyle w:val="132"/>
      </w:pPr>
      <w:r>
        <w:rPr>
          <w:rFonts w:hint="eastAsia"/>
        </w:rPr>
        <w:t>叠压（无负压）供水应根据当地供求和用水实际情况，确定有效防止影响供水管道水力工况的技术措施和可靠的防负压控制系统；</w:t>
      </w:r>
    </w:p>
    <w:p>
      <w:pPr>
        <w:pStyle w:val="132"/>
      </w:pPr>
      <w:r>
        <w:rPr>
          <w:rFonts w:hint="eastAsia"/>
        </w:rPr>
        <w:t>行政主管部门及供水企业可以检查无负压供水设备的实际运行的工况。</w:t>
      </w:r>
    </w:p>
    <w:p>
      <w:pPr>
        <w:pStyle w:val="165"/>
      </w:pPr>
      <w:r>
        <w:rPr>
          <w:rFonts w:hint="eastAsia"/>
        </w:rPr>
        <w:t>供水管道运行应符合下列规定:</w:t>
      </w:r>
    </w:p>
    <w:p>
      <w:pPr>
        <w:pStyle w:val="132"/>
      </w:pPr>
      <w:r>
        <w:rPr>
          <w:rFonts w:hint="eastAsia"/>
        </w:rPr>
        <w:t>二次供水管道应有标识；</w:t>
      </w:r>
    </w:p>
    <w:p>
      <w:pPr>
        <w:pStyle w:val="132"/>
      </w:pPr>
      <w:r>
        <w:rPr>
          <w:rFonts w:hint="eastAsia"/>
        </w:rPr>
        <w:t>维修人员应熟悉供给水系统，检查供给水管道及阀门的使用情况，注意地层有无漏水、渗水、积水等异常情况。如发现有上述现象，应及时查明原因并做出相应处理；</w:t>
      </w:r>
    </w:p>
    <w:p>
      <w:pPr>
        <w:pStyle w:val="132"/>
      </w:pPr>
      <w:r>
        <w:rPr>
          <w:rFonts w:hint="eastAsia"/>
        </w:rPr>
        <w:t>管道应安装牢固，控制阀门启用灵活、无滴漏。水压试验及保温、防腐措施应符合GB 50242的规定。</w:t>
      </w:r>
    </w:p>
    <w:p>
      <w:pPr>
        <w:pStyle w:val="165"/>
      </w:pPr>
      <w:r>
        <w:rPr>
          <w:rFonts w:hint="eastAsia"/>
        </w:rPr>
        <w:t>运行管理人员不得随意更改已设定的运行控制参数。</w:t>
      </w:r>
    </w:p>
    <w:p>
      <w:pPr>
        <w:pStyle w:val="165"/>
      </w:pPr>
      <w:r>
        <w:rPr>
          <w:rFonts w:hint="eastAsia"/>
        </w:rPr>
        <w:t>控制系统应显示故障信号，并宜显示运行状况信号，其中可包括水泵运行、泵前水位、供水压力、水量、电源、电流和变频频率等。</w:t>
      </w:r>
    </w:p>
    <w:p>
      <w:pPr>
        <w:pStyle w:val="165"/>
      </w:pPr>
      <w:r>
        <w:rPr>
          <w:rFonts w:hint="eastAsia"/>
        </w:rPr>
        <w:t>控制系统应采用可靠安全接地保护措施，符合相应技术标准要求</w:t>
      </w:r>
    </w:p>
    <w:p>
      <w:pPr>
        <w:pStyle w:val="165"/>
      </w:pPr>
      <w:r>
        <w:rPr>
          <w:rFonts w:hint="eastAsia"/>
        </w:rPr>
        <w:t>根据设计运行模式，水泵及其配套设备控制应采取就地控制、远程控制及自动控制的方式。</w:t>
      </w:r>
    </w:p>
    <w:p>
      <w:pPr>
        <w:pStyle w:val="165"/>
      </w:pPr>
      <w:r>
        <w:rPr>
          <w:rFonts w:hint="eastAsia"/>
        </w:rPr>
        <w:t>贮水池和水箱应有可靠的溢出报警和水位传输设施及其控制设备。</w:t>
      </w:r>
    </w:p>
    <w:p>
      <w:pPr>
        <w:pStyle w:val="165"/>
      </w:pPr>
      <w:r>
        <w:rPr>
          <w:rFonts w:hint="eastAsia"/>
        </w:rPr>
        <w:t>加压设备和消毒设备应有满足设备安全运行的电源和可靠的配电系统，应符合GB 50055的规定。</w:t>
      </w:r>
    </w:p>
    <w:p>
      <w:pPr>
        <w:pStyle w:val="165"/>
      </w:pPr>
      <w:r>
        <w:rPr>
          <w:rFonts w:hint="eastAsia"/>
        </w:rPr>
        <w:t>加压系统断水或供水不足以及系统供水超压时，应有自动报警和停机保护功能，当恢复正常时，应自动启动，进行供水。</w:t>
      </w:r>
    </w:p>
    <w:p>
      <w:pPr>
        <w:pStyle w:val="165"/>
      </w:pPr>
      <w:r>
        <w:rPr>
          <w:rFonts w:hint="eastAsia"/>
        </w:rPr>
        <w:t>泵房宜安装红外报警系统，在入口处设红外探头，有人入侵时，报警箱应能发出声光报警，且上传信号至管理部门。</w:t>
      </w:r>
    </w:p>
    <w:p>
      <w:pPr>
        <w:pStyle w:val="105"/>
        <w:spacing w:before="156" w:after="156"/>
      </w:pPr>
      <w:bookmarkStart w:id="97" w:name="_Toc148526840"/>
      <w:r>
        <w:rPr>
          <w:rFonts w:hint="eastAsia"/>
        </w:rPr>
        <w:t>维护</w:t>
      </w:r>
      <w:bookmarkEnd w:id="97"/>
    </w:p>
    <w:p>
      <w:pPr>
        <w:pStyle w:val="165"/>
      </w:pPr>
      <w:r>
        <w:rPr>
          <w:rFonts w:hint="eastAsia"/>
        </w:rPr>
        <w:t>二次供水设施维护应每半年一次，并应记录及建立台账。</w:t>
      </w:r>
    </w:p>
    <w:p>
      <w:pPr>
        <w:pStyle w:val="165"/>
      </w:pPr>
      <w:r>
        <w:rPr>
          <w:rFonts w:hint="eastAsia"/>
        </w:rPr>
        <w:t>二次供水设施设备维护管理人员应具备下列基本知识和技能：</w:t>
      </w:r>
    </w:p>
    <w:p>
      <w:pPr>
        <w:pStyle w:val="132"/>
      </w:pPr>
      <w:r>
        <w:rPr>
          <w:rFonts w:hint="eastAsia"/>
        </w:rPr>
        <w:t>各项管理制度、技术规程和安全操作规程；</w:t>
      </w:r>
    </w:p>
    <w:p>
      <w:pPr>
        <w:pStyle w:val="132"/>
      </w:pPr>
      <w:r>
        <w:rPr>
          <w:rFonts w:hint="eastAsia"/>
        </w:rPr>
        <w:t>二次供水设施设备的结构、工作原理和工艺流程，熟悉各项技术指标和参数；</w:t>
      </w:r>
    </w:p>
    <w:p>
      <w:pPr>
        <w:pStyle w:val="132"/>
      </w:pPr>
      <w:r>
        <w:rPr>
          <w:rFonts w:hint="eastAsia"/>
        </w:rPr>
        <w:t>生活饮用水卫生相关法规和知识；</w:t>
      </w:r>
    </w:p>
    <w:p>
      <w:pPr>
        <w:pStyle w:val="132"/>
      </w:pPr>
      <w:r>
        <w:rPr>
          <w:rFonts w:hint="eastAsia"/>
        </w:rPr>
        <w:t>维修、保养相关技术知识和要求；</w:t>
      </w:r>
    </w:p>
    <w:p>
      <w:pPr>
        <w:pStyle w:val="132"/>
      </w:pPr>
      <w:r>
        <w:rPr>
          <w:rFonts w:hint="eastAsia"/>
        </w:rPr>
        <w:t>具备二次供水设施设备运行、维保、维修和应急处置相应技能，能及时发现并排除故障隐患的能力。</w:t>
      </w:r>
    </w:p>
    <w:p>
      <w:pPr>
        <w:pStyle w:val="165"/>
      </w:pPr>
      <w:r>
        <w:rPr>
          <w:rFonts w:hint="eastAsia"/>
        </w:rPr>
        <w:t>二次供水设施出现故障应及时抢修，尽快恢复供水。</w:t>
      </w:r>
    </w:p>
    <w:p>
      <w:pPr>
        <w:pStyle w:val="165"/>
      </w:pPr>
      <w:r>
        <w:rPr>
          <w:rFonts w:hint="eastAsia"/>
        </w:rPr>
        <w:t>应加强对供水设施的巡视。如发生占压应及时劝阻、拆除。</w:t>
      </w:r>
    </w:p>
    <w:p>
      <w:pPr>
        <w:pStyle w:val="165"/>
      </w:pPr>
      <w:r>
        <w:rPr>
          <w:rFonts w:hint="eastAsia"/>
        </w:rPr>
        <w:t>根据管道材质及使用情况，应有计划的进行老旧管网改造。</w:t>
      </w:r>
    </w:p>
    <w:p>
      <w:pPr>
        <w:pStyle w:val="165"/>
      </w:pPr>
      <w:r>
        <w:rPr>
          <w:rFonts w:hint="eastAsia"/>
        </w:rPr>
        <w:t>应根据国家相关规定对压力表、压力容器、电接点压力表、绝缘电阻测量仪、接地电阻测量仪、用于计量电表等特种设备或计量器具进行检测、校准。</w:t>
      </w:r>
    </w:p>
    <w:p>
      <w:pPr>
        <w:pStyle w:val="165"/>
      </w:pPr>
      <w:r>
        <w:rPr>
          <w:rFonts w:hint="eastAsia"/>
        </w:rPr>
        <w:t>维护保养应包括下列内容：</w:t>
      </w:r>
    </w:p>
    <w:p>
      <w:pPr>
        <w:pStyle w:val="132"/>
      </w:pPr>
      <w:r>
        <w:rPr>
          <w:rFonts w:hint="eastAsia"/>
        </w:rPr>
        <w:t>贮水设施；</w:t>
      </w:r>
    </w:p>
    <w:p>
      <w:pPr>
        <w:pStyle w:val="132"/>
      </w:pPr>
      <w:r>
        <w:rPr>
          <w:rFonts w:hint="eastAsia"/>
        </w:rPr>
        <w:t>动力设施；</w:t>
      </w:r>
    </w:p>
    <w:p>
      <w:pPr>
        <w:pStyle w:val="132"/>
      </w:pPr>
      <w:r>
        <w:rPr>
          <w:rFonts w:hint="eastAsia"/>
        </w:rPr>
        <w:t>水处理设施；</w:t>
      </w:r>
    </w:p>
    <w:p>
      <w:pPr>
        <w:pStyle w:val="132"/>
      </w:pPr>
      <w:r>
        <w:rPr>
          <w:rFonts w:hint="eastAsia"/>
        </w:rPr>
        <w:t>无负压（叠压）供水设施；</w:t>
      </w:r>
    </w:p>
    <w:p>
      <w:pPr>
        <w:pStyle w:val="132"/>
      </w:pPr>
      <w:r>
        <w:rPr>
          <w:rFonts w:hint="eastAsia"/>
        </w:rPr>
        <w:t>管路及附件。</w:t>
      </w:r>
    </w:p>
    <w:p>
      <w:pPr>
        <w:pStyle w:val="165"/>
      </w:pPr>
      <w:r>
        <w:rPr>
          <w:rFonts w:hint="eastAsia"/>
        </w:rPr>
        <w:t>二次供水贮水设施维护应按照下表执行。</w:t>
      </w:r>
    </w:p>
    <w:p>
      <w:pPr>
        <w:pStyle w:val="112"/>
        <w:spacing w:before="156" w:after="156"/>
      </w:pPr>
      <w:r>
        <w:rPr>
          <w:rFonts w:hint="eastAsia"/>
        </w:rPr>
        <w:t>贮水</w:t>
      </w:r>
      <w:r>
        <w:t>设施维护内容及要求</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检查</w:t>
            </w:r>
            <w:r>
              <w:t>内容</w:t>
            </w:r>
          </w:p>
        </w:tc>
        <w:tc>
          <w:tcPr>
            <w:tcW w:w="4672" w:type="dxa"/>
          </w:tcPr>
          <w:p>
            <w:pPr>
              <w:pStyle w:val="178"/>
            </w:pPr>
            <w:r>
              <w:rPr>
                <w:rFonts w:hint="eastAsia"/>
              </w:rPr>
              <w:t>维护</w:t>
            </w:r>
            <w: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通气孔</w:t>
            </w:r>
            <w:r>
              <w:t>、溢流管、</w:t>
            </w:r>
            <w:r>
              <w:rPr>
                <w:rFonts w:hint="eastAsia"/>
              </w:rPr>
              <w:t>泄水</w:t>
            </w:r>
            <w:r>
              <w:t>管</w:t>
            </w:r>
          </w:p>
        </w:tc>
        <w:tc>
          <w:tcPr>
            <w:tcW w:w="4672" w:type="dxa"/>
          </w:tcPr>
          <w:p>
            <w:pPr>
              <w:pStyle w:val="178"/>
            </w:pPr>
            <w:r>
              <w:rPr>
                <w:rFonts w:hint="eastAsia"/>
              </w:rPr>
              <w:t>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水箱</w:t>
            </w:r>
            <w:r>
              <w:t>人孔</w:t>
            </w:r>
          </w:p>
        </w:tc>
        <w:tc>
          <w:tcPr>
            <w:tcW w:w="4672" w:type="dxa"/>
          </w:tcPr>
          <w:p>
            <w:pPr>
              <w:pStyle w:val="178"/>
            </w:pPr>
            <w:r>
              <w:rPr>
                <w:rFonts w:hint="eastAsia"/>
              </w:rPr>
              <w:t>启闭</w:t>
            </w:r>
            <w:r>
              <w:t>状况、严密性和封闭措施正常、完好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水箱</w:t>
            </w:r>
            <w:r>
              <w:t>内部</w:t>
            </w:r>
          </w:p>
        </w:tc>
        <w:tc>
          <w:tcPr>
            <w:tcW w:w="4672" w:type="dxa"/>
          </w:tcPr>
          <w:p>
            <w:pPr>
              <w:pStyle w:val="178"/>
            </w:pPr>
            <w:r>
              <w:rPr>
                <w:rFonts w:hint="eastAsia"/>
              </w:rPr>
              <w:t>无</w:t>
            </w:r>
            <w:r>
              <w:t>微生物滋生和杂志沉淀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水箱</w:t>
            </w:r>
            <w:r>
              <w:t>液位</w:t>
            </w:r>
            <w:r>
              <w:rPr>
                <w:rFonts w:hint="eastAsia"/>
              </w:rPr>
              <w:t>浮球阀</w:t>
            </w:r>
          </w:p>
        </w:tc>
        <w:tc>
          <w:tcPr>
            <w:tcW w:w="4672" w:type="dxa"/>
          </w:tcPr>
          <w:p>
            <w:pPr>
              <w:pStyle w:val="178"/>
            </w:pPr>
            <w:r>
              <w:rPr>
                <w:rFonts w:hint="eastAsia"/>
              </w:rPr>
              <w:t>无松动</w:t>
            </w:r>
            <w:r>
              <w:t>和损坏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水箱</w:t>
            </w:r>
            <w:r>
              <w:t>液位检测显示装置</w:t>
            </w:r>
          </w:p>
        </w:tc>
        <w:tc>
          <w:tcPr>
            <w:tcW w:w="4672" w:type="dxa"/>
          </w:tcPr>
          <w:p>
            <w:pPr>
              <w:pStyle w:val="178"/>
            </w:pPr>
            <w:r>
              <w:rPr>
                <w:rFonts w:hint="eastAsia"/>
              </w:rPr>
              <w:t>完好</w:t>
            </w:r>
            <w:r>
              <w:t>，显示准确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压力</w:t>
            </w:r>
            <w:r>
              <w:t>水容器防负压装置</w:t>
            </w:r>
          </w:p>
        </w:tc>
        <w:tc>
          <w:tcPr>
            <w:tcW w:w="4672" w:type="dxa"/>
          </w:tcPr>
          <w:p>
            <w:pPr>
              <w:pStyle w:val="178"/>
            </w:pPr>
            <w:r>
              <w:rPr>
                <w:rFonts w:hint="eastAsia"/>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压力</w:t>
            </w:r>
            <w:r>
              <w:t>水容器运行压力</w:t>
            </w:r>
          </w:p>
        </w:tc>
        <w:tc>
          <w:tcPr>
            <w:tcW w:w="4672" w:type="dxa"/>
          </w:tcPr>
          <w:p>
            <w:pPr>
              <w:pStyle w:val="178"/>
            </w:pPr>
            <w:r>
              <w:rPr>
                <w:rFonts w:hint="eastAsi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72" w:type="dxa"/>
          </w:tcPr>
          <w:p>
            <w:pPr>
              <w:pStyle w:val="178"/>
            </w:pPr>
            <w:r>
              <w:rPr>
                <w:rFonts w:hint="eastAsia"/>
              </w:rPr>
              <w:t>设施</w:t>
            </w:r>
            <w:r>
              <w:t>基础</w:t>
            </w:r>
          </w:p>
        </w:tc>
        <w:tc>
          <w:tcPr>
            <w:tcW w:w="4672" w:type="dxa"/>
          </w:tcPr>
          <w:p>
            <w:pPr>
              <w:pStyle w:val="178"/>
            </w:pPr>
            <w:r>
              <w:rPr>
                <w:rFonts w:hint="eastAsia"/>
              </w:rPr>
              <w:t>无损坏</w:t>
            </w:r>
            <w:r>
              <w:t>和沉降</w:t>
            </w:r>
          </w:p>
        </w:tc>
      </w:tr>
    </w:tbl>
    <w:p>
      <w:pPr>
        <w:pStyle w:val="165"/>
      </w:pPr>
      <w:r>
        <w:rPr>
          <w:rFonts w:hint="eastAsia"/>
        </w:rPr>
        <w:t>二次供水</w:t>
      </w:r>
      <w:r>
        <w:t>动力设施维护应按照下表执行。</w:t>
      </w:r>
    </w:p>
    <w:p>
      <w:pPr>
        <w:pStyle w:val="112"/>
        <w:spacing w:before="156" w:after="156"/>
      </w:pPr>
      <w:r>
        <w:rPr>
          <w:rFonts w:hint="eastAsia"/>
        </w:rPr>
        <w:t>二次供水动力设施维护内容和</w:t>
      </w:r>
      <w:r>
        <w:t>要求</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2"/>
        <w:gridCol w:w="4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检查</w:t>
            </w:r>
            <w:r>
              <w:t>内容</w:t>
            </w:r>
          </w:p>
        </w:tc>
        <w:tc>
          <w:tcPr>
            <w:tcW w:w="4672" w:type="dxa"/>
          </w:tcPr>
          <w:p>
            <w:pPr>
              <w:pStyle w:val="178"/>
            </w:pPr>
            <w:r>
              <w:rPr>
                <w:rFonts w:hint="eastAsia"/>
              </w:rPr>
              <w:t>维护</w:t>
            </w:r>
            <w: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水泵</w:t>
            </w:r>
            <w:r>
              <w:t>机组外露零件</w:t>
            </w:r>
          </w:p>
        </w:tc>
        <w:tc>
          <w:tcPr>
            <w:tcW w:w="4672" w:type="dxa"/>
          </w:tcPr>
          <w:p>
            <w:pPr>
              <w:pStyle w:val="178"/>
            </w:pPr>
            <w:r>
              <w:rPr>
                <w:rFonts w:hint="eastAsia"/>
              </w:rPr>
              <w:t>应</w:t>
            </w:r>
            <w:r>
              <w:t>无锈蚀、漏水、漏油、漏电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轴承</w:t>
            </w:r>
          </w:p>
        </w:tc>
        <w:tc>
          <w:tcPr>
            <w:tcW w:w="4672" w:type="dxa"/>
          </w:tcPr>
          <w:p>
            <w:pPr>
              <w:pStyle w:val="178"/>
            </w:pPr>
            <w:r>
              <w:rPr>
                <w:rFonts w:hint="eastAsia"/>
              </w:rPr>
              <w:t>应</w:t>
            </w:r>
            <w:r>
              <w:t>保持润滑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水泵</w:t>
            </w:r>
            <w:r>
              <w:t>机组外壳</w:t>
            </w:r>
          </w:p>
        </w:tc>
        <w:tc>
          <w:tcPr>
            <w:tcW w:w="4672" w:type="dxa"/>
          </w:tcPr>
          <w:p>
            <w:pPr>
              <w:pStyle w:val="178"/>
            </w:pPr>
            <w:r>
              <w:rPr>
                <w:rFonts w:hint="eastAsia"/>
              </w:rPr>
              <w:t>接地</w:t>
            </w:r>
            <w:r>
              <w:t>良好牢固、不得有氧化或腐蚀现象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电动</w:t>
            </w:r>
            <w:r>
              <w:t>机</w:t>
            </w:r>
          </w:p>
        </w:tc>
        <w:tc>
          <w:tcPr>
            <w:tcW w:w="4672" w:type="dxa"/>
          </w:tcPr>
          <w:p>
            <w:pPr>
              <w:pStyle w:val="178"/>
            </w:pPr>
            <w:r>
              <w:rPr>
                <w:rFonts w:hint="eastAsia"/>
              </w:rPr>
              <w:t>三</w:t>
            </w:r>
            <w:r>
              <w:t>相电流平衡，轴承冷却系统有效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对</w:t>
            </w:r>
            <w:r>
              <w:t>地绝缘电阻</w:t>
            </w:r>
          </w:p>
        </w:tc>
        <w:tc>
          <w:tcPr>
            <w:tcW w:w="4672" w:type="dxa"/>
          </w:tcPr>
          <w:p>
            <w:pPr>
              <w:pStyle w:val="178"/>
            </w:pPr>
            <w:r>
              <w:rPr>
                <w:rFonts w:hint="eastAsia"/>
              </w:rPr>
              <w:t>测量</w:t>
            </w:r>
            <w:r>
              <w:t>值应符合规定值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2" w:type="dxa"/>
          </w:tcPr>
          <w:p>
            <w:pPr>
              <w:pStyle w:val="178"/>
            </w:pPr>
            <w:r>
              <w:rPr>
                <w:rFonts w:hint="eastAsia"/>
              </w:rPr>
              <w:t>机组</w:t>
            </w:r>
            <w:r>
              <w:t>噪声</w:t>
            </w:r>
          </w:p>
        </w:tc>
        <w:tc>
          <w:tcPr>
            <w:tcW w:w="4672" w:type="dxa"/>
          </w:tcPr>
          <w:p>
            <w:pPr>
              <w:pStyle w:val="178"/>
            </w:pPr>
            <w:r>
              <w:rPr>
                <w:rFonts w:hint="eastAsia"/>
              </w:rPr>
              <w:t>符合</w:t>
            </w:r>
            <w:r>
              <w:t>规定值，无</w:t>
            </w:r>
            <w:r>
              <w:rPr>
                <w:rFonts w:hint="eastAsia"/>
              </w:rPr>
              <w:t>异响</w:t>
            </w:r>
          </w:p>
        </w:tc>
      </w:tr>
    </w:tbl>
    <w:p>
      <w:pPr>
        <w:pStyle w:val="165"/>
      </w:pPr>
      <w:r>
        <w:rPr>
          <w:rFonts w:hint="eastAsia"/>
        </w:rPr>
        <w:t>二次供水</w:t>
      </w:r>
      <w:r>
        <w:t>水处理设施维护应按照下表执行。</w:t>
      </w:r>
    </w:p>
    <w:p>
      <w:pPr>
        <w:pStyle w:val="112"/>
        <w:spacing w:before="156" w:after="156"/>
      </w:pPr>
      <w:r>
        <w:rPr>
          <w:rFonts w:hint="eastAsia"/>
        </w:rPr>
        <w:t>二次供水水处理设施维护内容</w:t>
      </w:r>
      <w:r>
        <w:t>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shd w:val="clear" w:color="auto" w:fill="auto"/>
            <w:vAlign w:val="center"/>
          </w:tcPr>
          <w:p>
            <w:pPr>
              <w:pStyle w:val="178"/>
            </w:pPr>
            <w:r>
              <w:rPr>
                <w:rFonts w:hint="eastAsia"/>
              </w:rPr>
              <w:t>检查内容</w:t>
            </w:r>
          </w:p>
        </w:tc>
        <w:tc>
          <w:tcPr>
            <w:tcW w:w="4667" w:type="dxa"/>
            <w:tcBorders>
              <w:top w:val="single" w:color="auto" w:sz="8" w:space="0"/>
              <w:bottom w:val="single" w:color="auto" w:sz="8" w:space="0"/>
            </w:tcBorders>
            <w:shd w:val="clear" w:color="auto" w:fill="auto"/>
            <w:vAlign w:val="center"/>
          </w:tcPr>
          <w:p>
            <w:pPr>
              <w:pStyle w:val="178"/>
            </w:pPr>
            <w:r>
              <w:rPr>
                <w:rFonts w:hint="eastAsia"/>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tcBorders>
              <w:top w:val="single" w:color="auto" w:sz="8" w:space="0"/>
            </w:tcBorders>
            <w:shd w:val="clear" w:color="auto" w:fill="auto"/>
            <w:vAlign w:val="center"/>
          </w:tcPr>
          <w:p>
            <w:pPr>
              <w:pStyle w:val="178"/>
            </w:pPr>
            <w:r>
              <w:rPr>
                <w:rFonts w:hint="eastAsia"/>
              </w:rPr>
              <w:t>紫外线照射强度</w:t>
            </w:r>
          </w:p>
        </w:tc>
        <w:tc>
          <w:tcPr>
            <w:tcW w:w="4667" w:type="dxa"/>
            <w:tcBorders>
              <w:top w:val="single" w:color="auto" w:sz="8" w:space="0"/>
            </w:tcBorders>
            <w:shd w:val="clear" w:color="auto" w:fill="auto"/>
            <w:vAlign w:val="center"/>
          </w:tcPr>
          <w:p>
            <w:pPr>
              <w:pStyle w:val="178"/>
            </w:pPr>
            <w:r>
              <w:rPr>
                <w:rFonts w:hint="eastAsia"/>
              </w:rPr>
              <w:t>及时清洗</w:t>
            </w:r>
            <w:r>
              <w:t>石英</w:t>
            </w:r>
            <w:r>
              <w:rPr>
                <w:rFonts w:hint="eastAsia"/>
              </w:rPr>
              <w:t>套管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紫外线照射</w:t>
            </w:r>
            <w:r>
              <w:t>累计使用时间</w:t>
            </w:r>
          </w:p>
        </w:tc>
        <w:tc>
          <w:tcPr>
            <w:tcW w:w="4667" w:type="dxa"/>
            <w:shd w:val="clear" w:color="auto" w:fill="auto"/>
            <w:vAlign w:val="center"/>
          </w:tcPr>
          <w:p>
            <w:pPr>
              <w:pStyle w:val="178"/>
            </w:pPr>
            <w:r>
              <w:rPr>
                <w:rFonts w:hint="eastAsia"/>
              </w:rPr>
              <w:t>应</w:t>
            </w:r>
            <w:r>
              <w:t>按规定更换灯管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紫外线</w:t>
            </w:r>
            <w:r>
              <w:t>套筒</w:t>
            </w:r>
          </w:p>
        </w:tc>
        <w:tc>
          <w:tcPr>
            <w:tcW w:w="4667" w:type="dxa"/>
            <w:shd w:val="clear" w:color="auto" w:fill="auto"/>
            <w:vAlign w:val="center"/>
          </w:tcPr>
          <w:p>
            <w:pPr>
              <w:pStyle w:val="178"/>
            </w:pPr>
            <w:r>
              <w:rPr>
                <w:rFonts w:hint="eastAsia"/>
              </w:rPr>
              <w:t>无渗漏</w:t>
            </w:r>
            <w:r>
              <w:t>、锈蚀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臭氧冷却水箱</w:t>
            </w:r>
          </w:p>
        </w:tc>
        <w:tc>
          <w:tcPr>
            <w:tcW w:w="4667" w:type="dxa"/>
            <w:shd w:val="clear" w:color="auto" w:fill="auto"/>
            <w:vAlign w:val="center"/>
          </w:tcPr>
          <w:p>
            <w:pPr>
              <w:pStyle w:val="178"/>
            </w:pPr>
            <w:r>
              <w:rPr>
                <w:rFonts w:hint="eastAsia"/>
              </w:rPr>
              <w:t>无缺水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臭氧发生器</w:t>
            </w:r>
          </w:p>
        </w:tc>
        <w:tc>
          <w:tcPr>
            <w:tcW w:w="4667" w:type="dxa"/>
            <w:shd w:val="clear" w:color="auto" w:fill="auto"/>
            <w:vAlign w:val="center"/>
          </w:tcPr>
          <w:p>
            <w:pPr>
              <w:pStyle w:val="178"/>
            </w:pPr>
            <w:r>
              <w:rPr>
                <w:rFonts w:hint="eastAsia"/>
              </w:rPr>
              <w:t>运行正常、无泄漏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曝气头</w:t>
            </w:r>
          </w:p>
        </w:tc>
        <w:tc>
          <w:tcPr>
            <w:tcW w:w="4667" w:type="dxa"/>
            <w:shd w:val="clear" w:color="auto" w:fill="auto"/>
            <w:vAlign w:val="center"/>
          </w:tcPr>
          <w:p>
            <w:pPr>
              <w:pStyle w:val="178"/>
            </w:pPr>
            <w:r>
              <w:rPr>
                <w:rFonts w:hint="eastAsia"/>
              </w:rPr>
              <w:t>通畅，曝气均匀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vAlign w:val="center"/>
          </w:tcPr>
          <w:p>
            <w:pPr>
              <w:pStyle w:val="178"/>
            </w:pPr>
            <w:r>
              <w:rPr>
                <w:rFonts w:hint="eastAsia"/>
              </w:rPr>
              <w:t>电气元件及线路</w:t>
            </w:r>
          </w:p>
        </w:tc>
        <w:tc>
          <w:tcPr>
            <w:tcW w:w="4667" w:type="dxa"/>
            <w:shd w:val="clear" w:color="auto" w:fill="auto"/>
            <w:vAlign w:val="center"/>
          </w:tcPr>
          <w:p>
            <w:pPr>
              <w:pStyle w:val="178"/>
            </w:pPr>
            <w:r>
              <w:rPr>
                <w:rFonts w:hint="eastAsia"/>
              </w:rPr>
              <w:t>完好、可靠</w:t>
            </w:r>
          </w:p>
        </w:tc>
      </w:tr>
    </w:tbl>
    <w:p>
      <w:pPr>
        <w:pStyle w:val="165"/>
      </w:pPr>
      <w:r>
        <w:rPr>
          <w:rFonts w:hint="eastAsia"/>
        </w:rPr>
        <w:t>二次供水</w:t>
      </w:r>
      <w:r>
        <w:t>设施管路及附件维护应按照下表执行。</w:t>
      </w:r>
    </w:p>
    <w:p>
      <w:pPr>
        <w:pStyle w:val="112"/>
        <w:spacing w:before="156" w:after="156"/>
      </w:pPr>
      <w:r>
        <w:rPr>
          <w:rFonts w:hint="eastAsia"/>
        </w:rPr>
        <w:t>二次供水设施管路及附件维护内容</w:t>
      </w:r>
      <w:r>
        <w:t>及要求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检查内容</w:t>
            </w:r>
          </w:p>
        </w:tc>
        <w:tc>
          <w:tcPr>
            <w:tcW w:w="4667" w:type="dxa"/>
            <w:tcBorders>
              <w:top w:val="single" w:color="auto" w:sz="8" w:space="0"/>
              <w:bottom w:val="single" w:color="auto" w:sz="8" w:space="0"/>
            </w:tcBorders>
            <w:shd w:val="clear" w:color="auto" w:fill="auto"/>
          </w:tcPr>
          <w:p>
            <w:pPr>
              <w:jc w:val="center"/>
              <w:rPr>
                <w:rFonts w:ascii="宋体" w:hAnsi="宋体"/>
                <w:sz w:val="18"/>
                <w:szCs w:val="18"/>
              </w:rPr>
            </w:pPr>
            <w:r>
              <w:rPr>
                <w:rFonts w:hint="eastAsia" w:ascii="宋体" w:hAnsi="宋体"/>
                <w:sz w:val="18"/>
                <w:szCs w:val="18"/>
              </w:rPr>
              <w:t>维护要求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tcBorders>
              <w:top w:val="single" w:color="auto" w:sz="8" w:space="0"/>
            </w:tcBorders>
            <w:shd w:val="clear" w:color="auto" w:fill="auto"/>
          </w:tcPr>
          <w:p>
            <w:pPr>
              <w:jc w:val="center"/>
              <w:rPr>
                <w:rFonts w:ascii="宋体" w:hAnsi="宋体"/>
                <w:sz w:val="18"/>
                <w:szCs w:val="18"/>
              </w:rPr>
            </w:pPr>
            <w:r>
              <w:rPr>
                <w:rFonts w:hint="eastAsia" w:ascii="宋体" w:hAnsi="宋体"/>
                <w:sz w:val="18"/>
                <w:szCs w:val="18"/>
              </w:rPr>
              <w:t>过滤器</w:t>
            </w:r>
          </w:p>
        </w:tc>
        <w:tc>
          <w:tcPr>
            <w:tcW w:w="4667" w:type="dxa"/>
            <w:tcBorders>
              <w:top w:val="single" w:color="auto" w:sz="8" w:space="0"/>
            </w:tcBorders>
            <w:shd w:val="clear" w:color="auto" w:fill="auto"/>
          </w:tcPr>
          <w:p>
            <w:pPr>
              <w:jc w:val="center"/>
              <w:rPr>
                <w:rFonts w:ascii="宋体" w:hAnsi="宋体"/>
                <w:sz w:val="18"/>
                <w:szCs w:val="18"/>
              </w:rPr>
            </w:pPr>
            <w:r>
              <w:rPr>
                <w:rFonts w:hint="eastAsia" w:ascii="宋体" w:hAnsi="宋体"/>
                <w:sz w:val="18"/>
                <w:szCs w:val="18"/>
              </w:rPr>
              <w:t>清洁、通畅、状态良好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阀门</w:t>
            </w:r>
          </w:p>
        </w:tc>
        <w:tc>
          <w:tcPr>
            <w:tcW w:w="4667" w:type="dxa"/>
            <w:shd w:val="clear" w:color="auto" w:fill="auto"/>
          </w:tcPr>
          <w:p>
            <w:pPr>
              <w:jc w:val="center"/>
              <w:rPr>
                <w:rFonts w:ascii="宋体" w:hAnsi="宋体"/>
                <w:sz w:val="18"/>
                <w:szCs w:val="18"/>
              </w:rPr>
            </w:pPr>
            <w:r>
              <w:rPr>
                <w:rFonts w:hint="eastAsia" w:ascii="宋体" w:hAnsi="宋体"/>
                <w:sz w:val="18"/>
                <w:szCs w:val="18"/>
              </w:rPr>
              <w:t>密封完好，启闭灵活，表面无油污、锈蚀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倒流防止器</w:t>
            </w:r>
          </w:p>
        </w:tc>
        <w:tc>
          <w:tcPr>
            <w:tcW w:w="4667" w:type="dxa"/>
            <w:shd w:val="clear" w:color="auto" w:fill="auto"/>
          </w:tcPr>
          <w:p>
            <w:pPr>
              <w:jc w:val="center"/>
              <w:rPr>
                <w:rFonts w:ascii="宋体" w:hAnsi="宋体"/>
                <w:sz w:val="18"/>
                <w:szCs w:val="18"/>
              </w:rPr>
            </w:pPr>
            <w:r>
              <w:rPr>
                <w:rFonts w:hint="eastAsia" w:ascii="宋体" w:hAnsi="宋体"/>
                <w:sz w:val="18"/>
                <w:szCs w:val="18"/>
              </w:rPr>
              <w:t>无泄漏或损坏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软接头、胶圈、垫片等塑料橡胶制品</w:t>
            </w:r>
          </w:p>
        </w:tc>
        <w:tc>
          <w:tcPr>
            <w:tcW w:w="4667" w:type="dxa"/>
            <w:shd w:val="clear" w:color="auto" w:fill="auto"/>
          </w:tcPr>
          <w:p>
            <w:pPr>
              <w:jc w:val="center"/>
              <w:rPr>
                <w:rFonts w:ascii="宋体" w:hAnsi="宋体"/>
                <w:sz w:val="18"/>
                <w:szCs w:val="18"/>
              </w:rPr>
            </w:pPr>
            <w:r>
              <w:rPr>
                <w:rFonts w:hint="eastAsia" w:ascii="宋体" w:hAnsi="宋体"/>
                <w:sz w:val="18"/>
                <w:szCs w:val="18"/>
              </w:rPr>
              <w:t>无老化变质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排水管道</w:t>
            </w:r>
          </w:p>
        </w:tc>
        <w:tc>
          <w:tcPr>
            <w:tcW w:w="4667" w:type="dxa"/>
            <w:shd w:val="clear" w:color="auto" w:fill="auto"/>
          </w:tcPr>
          <w:p>
            <w:pPr>
              <w:jc w:val="center"/>
              <w:rPr>
                <w:rFonts w:ascii="宋体" w:hAnsi="宋体"/>
                <w:sz w:val="18"/>
                <w:szCs w:val="18"/>
              </w:rPr>
            </w:pPr>
            <w:r>
              <w:rPr>
                <w:rFonts w:hint="eastAsia" w:ascii="宋体" w:hAnsi="宋体"/>
                <w:sz w:val="18"/>
                <w:szCs w:val="18"/>
              </w:rPr>
              <w:t>通畅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电动（磁）阀门</w:t>
            </w:r>
          </w:p>
        </w:tc>
        <w:tc>
          <w:tcPr>
            <w:tcW w:w="4667" w:type="dxa"/>
            <w:shd w:val="clear" w:color="auto" w:fill="auto"/>
          </w:tcPr>
          <w:p>
            <w:pPr>
              <w:jc w:val="center"/>
              <w:rPr>
                <w:rFonts w:ascii="宋体" w:hAnsi="宋体"/>
                <w:sz w:val="18"/>
                <w:szCs w:val="18"/>
              </w:rPr>
            </w:pPr>
            <w:r>
              <w:rPr>
                <w:rFonts w:hint="eastAsia" w:ascii="宋体" w:hAnsi="宋体"/>
                <w:sz w:val="18"/>
                <w:szCs w:val="18"/>
              </w:rPr>
              <w:t>限位开关及手动与电动联锁装置完好、可靠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管道支架、管卡</w:t>
            </w:r>
          </w:p>
        </w:tc>
        <w:tc>
          <w:tcPr>
            <w:tcW w:w="4667" w:type="dxa"/>
            <w:shd w:val="clear" w:color="auto" w:fill="auto"/>
          </w:tcPr>
          <w:p>
            <w:pPr>
              <w:jc w:val="center"/>
              <w:rPr>
                <w:rFonts w:ascii="宋体" w:hAnsi="宋体"/>
                <w:sz w:val="18"/>
                <w:szCs w:val="18"/>
              </w:rPr>
            </w:pPr>
            <w:r>
              <w:rPr>
                <w:rFonts w:hint="eastAsia" w:ascii="宋体" w:hAnsi="宋体"/>
                <w:sz w:val="18"/>
                <w:szCs w:val="18"/>
              </w:rPr>
              <w:t>牢固无松动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4667" w:type="dxa"/>
            <w:shd w:val="clear" w:color="auto" w:fill="auto"/>
          </w:tcPr>
          <w:p>
            <w:pPr>
              <w:jc w:val="center"/>
              <w:rPr>
                <w:rFonts w:ascii="宋体" w:hAnsi="宋体"/>
                <w:sz w:val="18"/>
                <w:szCs w:val="18"/>
              </w:rPr>
            </w:pPr>
            <w:r>
              <w:rPr>
                <w:rFonts w:hint="eastAsia" w:ascii="宋体" w:hAnsi="宋体"/>
                <w:sz w:val="18"/>
                <w:szCs w:val="18"/>
              </w:rPr>
              <w:t>监测仪表</w:t>
            </w:r>
          </w:p>
        </w:tc>
        <w:tc>
          <w:tcPr>
            <w:tcW w:w="4667" w:type="dxa"/>
            <w:shd w:val="clear" w:color="auto" w:fill="auto"/>
          </w:tcPr>
          <w:p>
            <w:pPr>
              <w:jc w:val="center"/>
              <w:rPr>
                <w:rFonts w:ascii="宋体" w:hAnsi="宋体"/>
                <w:sz w:val="18"/>
                <w:szCs w:val="18"/>
              </w:rPr>
            </w:pPr>
            <w:r>
              <w:rPr>
                <w:rFonts w:hint="eastAsia" w:ascii="宋体" w:hAnsi="宋体"/>
                <w:sz w:val="18"/>
                <w:szCs w:val="18"/>
              </w:rPr>
              <w:t>测量值可靠、无异常</w:t>
            </w:r>
          </w:p>
        </w:tc>
      </w:tr>
    </w:tbl>
    <w:p>
      <w:pPr>
        <w:pStyle w:val="165"/>
      </w:pPr>
      <w:r>
        <w:rPr>
          <w:rFonts w:hint="eastAsia"/>
        </w:rPr>
        <w:t>控制系统日常巡检应符合下列规定：</w:t>
      </w:r>
    </w:p>
    <w:p>
      <w:pPr>
        <w:pStyle w:val="132"/>
      </w:pPr>
      <w:r>
        <w:rPr>
          <w:rFonts w:hint="eastAsia"/>
        </w:rPr>
        <w:t>信号灯正常显示；</w:t>
      </w:r>
    </w:p>
    <w:p>
      <w:pPr>
        <w:pStyle w:val="132"/>
      </w:pPr>
      <w:r>
        <w:rPr>
          <w:rFonts w:hint="eastAsia"/>
        </w:rPr>
        <w:t>配电盘上各种检测仪表正常显示；</w:t>
      </w:r>
    </w:p>
    <w:p>
      <w:pPr>
        <w:pStyle w:val="132"/>
      </w:pPr>
      <w:r>
        <w:rPr>
          <w:rFonts w:hint="eastAsia"/>
        </w:rPr>
        <w:t>配电盘通风状况良好，无堵塞；</w:t>
      </w:r>
    </w:p>
    <w:p>
      <w:pPr>
        <w:pStyle w:val="132"/>
      </w:pPr>
      <w:r>
        <w:rPr>
          <w:rFonts w:hint="eastAsia"/>
        </w:rPr>
        <w:t>配电控制盘无异常气味。</w:t>
      </w:r>
    </w:p>
    <w:p>
      <w:pPr>
        <w:pStyle w:val="165"/>
      </w:pPr>
      <w:r>
        <w:rPr>
          <w:rFonts w:hint="eastAsia"/>
        </w:rPr>
        <w:t>控制系统定期维护内容及要求应符合下列规定：</w:t>
      </w:r>
    </w:p>
    <w:p>
      <w:pPr>
        <w:pStyle w:val="132"/>
      </w:pPr>
      <w:r>
        <w:rPr>
          <w:rFonts w:hint="eastAsia"/>
        </w:rPr>
        <w:t>季节性保养宜安排在夏季或冬季换季之前；</w:t>
      </w:r>
    </w:p>
    <w:p>
      <w:pPr>
        <w:pStyle w:val="132"/>
      </w:pPr>
      <w:r>
        <w:rPr>
          <w:rFonts w:hint="eastAsia"/>
        </w:rPr>
        <w:t>检查电控柜的接地和接零性能，电机的绝缘电阻不小于0.5</w:t>
      </w:r>
      <w:r>
        <w:t xml:space="preserve"> </w:t>
      </w:r>
      <w:r>
        <w:rPr>
          <w:rFonts w:hint="eastAsia"/>
        </w:rPr>
        <w:t>MΩ；</w:t>
      </w:r>
    </w:p>
    <w:p>
      <w:pPr>
        <w:pStyle w:val="132"/>
      </w:pPr>
      <w:r>
        <w:rPr>
          <w:rFonts w:hint="eastAsia"/>
        </w:rPr>
        <w:t>对电控柜和电控设备除尘清扫；</w:t>
      </w:r>
    </w:p>
    <w:p>
      <w:pPr>
        <w:pStyle w:val="132"/>
      </w:pPr>
      <w:r>
        <w:rPr>
          <w:rFonts w:hint="eastAsia"/>
        </w:rPr>
        <w:t>控制电路显示接插件应无松动、裂纹、破损及变形；</w:t>
      </w:r>
    </w:p>
    <w:p>
      <w:pPr>
        <w:pStyle w:val="132"/>
      </w:pPr>
      <w:r>
        <w:rPr>
          <w:rFonts w:hint="eastAsia"/>
        </w:rPr>
        <w:t>采用专业仪器，检查电器元件的接线端子温升应在正常范围内；</w:t>
      </w:r>
    </w:p>
    <w:p>
      <w:pPr>
        <w:pStyle w:val="132"/>
      </w:pPr>
      <w:r>
        <w:rPr>
          <w:rFonts w:hint="eastAsia"/>
        </w:rPr>
        <w:t>检查电器元件触头可靠动作，无卡阻现象；</w:t>
      </w:r>
    </w:p>
    <w:p>
      <w:pPr>
        <w:pStyle w:val="132"/>
      </w:pPr>
      <w:r>
        <w:rPr>
          <w:rFonts w:hint="eastAsia"/>
        </w:rPr>
        <w:t>检查电器元件端子接线无松动；</w:t>
      </w:r>
    </w:p>
    <w:p>
      <w:pPr>
        <w:pStyle w:val="132"/>
      </w:pPr>
      <w:r>
        <w:rPr>
          <w:rFonts w:hint="eastAsia"/>
        </w:rPr>
        <w:t>校查全部接线端子接地良好，无松动；</w:t>
      </w:r>
    </w:p>
    <w:p>
      <w:pPr>
        <w:pStyle w:val="132"/>
      </w:pPr>
      <w:r>
        <w:rPr>
          <w:rFonts w:hint="eastAsia"/>
        </w:rPr>
        <w:t>监测仪表应正确、清晰显示；</w:t>
      </w:r>
    </w:p>
    <w:p>
      <w:pPr>
        <w:pStyle w:val="132"/>
      </w:pPr>
      <w:r>
        <w:rPr>
          <w:rFonts w:hint="eastAsia"/>
        </w:rPr>
        <w:t>电控柜通风扇（如有）应正常运转，通风孔无堵塞。</w:t>
      </w:r>
    </w:p>
    <w:p>
      <w:pPr>
        <w:pStyle w:val="165"/>
      </w:pPr>
      <w:r>
        <w:rPr>
          <w:rFonts w:hint="eastAsia"/>
        </w:rPr>
        <w:t>控制系统维修应符合下列规定：</w:t>
      </w:r>
    </w:p>
    <w:p>
      <w:pPr>
        <w:pStyle w:val="132"/>
      </w:pPr>
      <w:r>
        <w:rPr>
          <w:rFonts w:hint="eastAsia"/>
        </w:rPr>
        <w:t>控制系统的维修或更换均应在断电情况下进行；</w:t>
      </w:r>
    </w:p>
    <w:p>
      <w:pPr>
        <w:pStyle w:val="132"/>
      </w:pPr>
      <w:r>
        <w:rPr>
          <w:rFonts w:hint="eastAsia"/>
        </w:rPr>
        <w:t>控制柜主进线开关更换时，所更换断路器的型号应与断路器保持一致，断路器的整定电流值应与原断路器保持一致；</w:t>
      </w:r>
    </w:p>
    <w:p>
      <w:pPr>
        <w:pStyle w:val="132"/>
      </w:pPr>
      <w:r>
        <w:rPr>
          <w:rFonts w:hint="eastAsia"/>
        </w:rPr>
        <w:t>控制系统继电保护元件发生异常时，应及时更换电器元件，所更换电器元件的规格、技术参数应与原元件一致；</w:t>
      </w:r>
    </w:p>
    <w:p>
      <w:pPr>
        <w:pStyle w:val="132"/>
      </w:pPr>
      <w:r>
        <w:rPr>
          <w:rFonts w:hint="eastAsia"/>
        </w:rPr>
        <w:t>控制柜电源指示灯如更换，所更换指示灯的规格、技术参数、颜色应与原指示灯保持-致；</w:t>
      </w:r>
    </w:p>
    <w:p>
      <w:pPr>
        <w:pStyle w:val="132"/>
      </w:pPr>
      <w:r>
        <w:rPr>
          <w:rFonts w:hint="eastAsia"/>
        </w:rPr>
        <w:t>采用专业仪器发现接线端子温升过高时，应对系统进行全面检查，触头松动时应进行紧固。</w:t>
      </w:r>
    </w:p>
    <w:p>
      <w:pPr>
        <w:pStyle w:val="105"/>
        <w:spacing w:before="156" w:after="156"/>
      </w:pPr>
      <w:bookmarkStart w:id="98" w:name="_Toc148526841"/>
      <w:r>
        <w:rPr>
          <w:rFonts w:hint="eastAsia"/>
        </w:rPr>
        <w:t>安全管理</w:t>
      </w:r>
      <w:bookmarkEnd w:id="98"/>
    </w:p>
    <w:p>
      <w:pPr>
        <w:pStyle w:val="165"/>
      </w:pPr>
      <w:r>
        <w:rPr>
          <w:rFonts w:hint="eastAsia"/>
        </w:rPr>
        <w:t>应建立安全运行机制，并应符合下列规定：</w:t>
      </w:r>
    </w:p>
    <w:p>
      <w:pPr>
        <w:pStyle w:val="174"/>
        <w:numPr>
          <w:ilvl w:val="0"/>
          <w:numId w:val="57"/>
        </w:numPr>
      </w:pPr>
      <w:r>
        <w:rPr>
          <w:rFonts w:hint="eastAsia"/>
        </w:rPr>
        <w:t>电气设备检修时应做到一人操作一人监护；</w:t>
      </w:r>
    </w:p>
    <w:p>
      <w:pPr>
        <w:pStyle w:val="174"/>
      </w:pPr>
      <w:r>
        <w:rPr>
          <w:rFonts w:hint="eastAsia"/>
        </w:rPr>
        <w:t>雷雨天气巡视室外电气设备时，应穿绝缘靴，并不得靠近避雷器或避雷针；</w:t>
      </w:r>
    </w:p>
    <w:p>
      <w:pPr>
        <w:pStyle w:val="174"/>
      </w:pPr>
      <w:r>
        <w:rPr>
          <w:rFonts w:hint="eastAsia"/>
        </w:rPr>
        <w:t>使用摇表测量绝缘电阻时，必须将被测设备与电气回路断开，在测量绝缘前后必须将被测设备对地放电；</w:t>
      </w:r>
    </w:p>
    <w:p>
      <w:pPr>
        <w:pStyle w:val="174"/>
      </w:pPr>
      <w:r>
        <w:rPr>
          <w:rFonts w:hint="eastAsia"/>
        </w:rPr>
        <w:t>电气设备起火时，应立即切断电源并灭火。</w:t>
      </w:r>
    </w:p>
    <w:p>
      <w:pPr>
        <w:pStyle w:val="165"/>
      </w:pPr>
      <w:r>
        <w:rPr>
          <w:rFonts w:hint="eastAsia"/>
        </w:rPr>
        <w:t>应建立安全维修机制，并应符合下列规定：</w:t>
      </w:r>
    </w:p>
    <w:p>
      <w:pPr>
        <w:pStyle w:val="174"/>
        <w:numPr>
          <w:ilvl w:val="0"/>
          <w:numId w:val="58"/>
        </w:numPr>
      </w:pPr>
      <w:r>
        <w:rPr>
          <w:rFonts w:hint="eastAsia"/>
        </w:rPr>
        <w:t>检修设备时应切断电源；</w:t>
      </w:r>
    </w:p>
    <w:p>
      <w:pPr>
        <w:pStyle w:val="174"/>
      </w:pPr>
      <w:r>
        <w:rPr>
          <w:rFonts w:hint="eastAsia"/>
        </w:rPr>
        <w:t>确定设备无电压后，将检修设备接地；</w:t>
      </w:r>
    </w:p>
    <w:p>
      <w:pPr>
        <w:pStyle w:val="174"/>
      </w:pPr>
      <w:r>
        <w:rPr>
          <w:rFonts w:hint="eastAsia"/>
        </w:rPr>
        <w:t>对全部停电或部分停电的机械及电气设备进行检修时，必须停电、验电、装设接地线，并应在相关刀闸和相关地点悬挂标示牌和装设临时遮栏。标示牌应用绝缘材料制作，规格应符合国家相关规定，悬挂和拆除应按检修命令执行，严禁在工作中移动或拆除；</w:t>
      </w:r>
    </w:p>
    <w:p>
      <w:pPr>
        <w:pStyle w:val="174"/>
      </w:pPr>
      <w:r>
        <w:rPr>
          <w:rFonts w:hint="eastAsia"/>
        </w:rPr>
        <w:t>电气绝缘工具应在专用房间存放，由专人管理，并定期试验；</w:t>
      </w:r>
    </w:p>
    <w:p>
      <w:pPr>
        <w:pStyle w:val="174"/>
      </w:pPr>
      <w:r>
        <w:rPr>
          <w:rFonts w:hint="eastAsia"/>
        </w:rPr>
        <w:t>室内电气设备、电力和通讯线路应有防火、防水和防生物侵入等措施，并应经常巡视检查。</w:t>
      </w:r>
    </w:p>
    <w:p>
      <w:pPr>
        <w:pStyle w:val="165"/>
      </w:pPr>
      <w:r>
        <w:rPr>
          <w:rFonts w:hint="eastAsia"/>
        </w:rPr>
        <w:t>应建立安全防护机制，并应符合下列规定：</w:t>
      </w:r>
    </w:p>
    <w:p>
      <w:pPr>
        <w:pStyle w:val="174"/>
        <w:numPr>
          <w:ilvl w:val="0"/>
          <w:numId w:val="59"/>
        </w:numPr>
      </w:pPr>
      <w:r>
        <w:rPr>
          <w:rFonts w:hint="eastAsia"/>
        </w:rPr>
        <w:t>二次供水泵房应具有防盗、防破坏措施；</w:t>
      </w:r>
    </w:p>
    <w:p>
      <w:pPr>
        <w:pStyle w:val="174"/>
      </w:pPr>
      <w:r>
        <w:rPr>
          <w:rFonts w:hint="eastAsia"/>
        </w:rPr>
        <w:t>二次供水设施应采取防止人为污染、破坏的措施。</w:t>
      </w:r>
    </w:p>
    <w:p>
      <w:pPr>
        <w:pStyle w:val="165"/>
      </w:pPr>
      <w:r>
        <w:rPr>
          <w:rFonts w:hint="eastAsia"/>
        </w:rPr>
        <w:t>应建立应急预案机制，并应符合下列规定：</w:t>
      </w:r>
    </w:p>
    <w:p>
      <w:pPr>
        <w:pStyle w:val="174"/>
        <w:numPr>
          <w:ilvl w:val="0"/>
          <w:numId w:val="60"/>
        </w:numPr>
      </w:pPr>
      <w:r>
        <w:rPr>
          <w:rFonts w:hint="eastAsia"/>
        </w:rPr>
        <w:t>运营维护企业应编制二次供水突发事件应急预案，每年组织演练；</w:t>
      </w:r>
    </w:p>
    <w:p>
      <w:pPr>
        <w:pStyle w:val="174"/>
      </w:pPr>
      <w:r>
        <w:rPr>
          <w:rFonts w:hint="eastAsia"/>
        </w:rPr>
        <w:t>发生二次供水突发性事件后，应按照突发事件级别立即启动应急预案，并按规定及时上报相关政府主管部门；</w:t>
      </w:r>
    </w:p>
    <w:p>
      <w:pPr>
        <w:pStyle w:val="174"/>
        <w:sectPr>
          <w:pgSz w:w="11906" w:h="16838"/>
          <w:pgMar w:top="1928" w:right="1134" w:bottom="1134" w:left="1134" w:header="1418" w:footer="1134" w:gutter="284"/>
          <w:pgNumType w:start="1"/>
          <w:cols w:space="425" w:num="1"/>
          <w:formProt w:val="0"/>
          <w:docGrid w:type="lines" w:linePitch="312" w:charSpace="0"/>
        </w:sectPr>
      </w:pPr>
      <w:r>
        <w:rPr>
          <w:rFonts w:hint="eastAsia"/>
        </w:rPr>
        <w:t>突发事件应急处置完成后，运行维护单位应形成书面总结，总结应包括下列内容：事故原因、发展过程及造成的后果分析和评价；采取的主要应急响应措施和经验教训等；对规划设计、建设施工和运行管理等方面提出改进建议。</w:t>
      </w:r>
    </w:p>
    <w:bookmarkEnd w:id="26"/>
    <w:p>
      <w:pPr>
        <w:pStyle w:val="198"/>
        <w:rPr>
          <w:vanish w:val="0"/>
        </w:rPr>
      </w:pPr>
      <w:bookmarkStart w:id="99" w:name="BookMark5"/>
    </w:p>
    <w:p>
      <w:pPr>
        <w:pStyle w:val="199"/>
        <w:rPr>
          <w:vanish w:val="0"/>
        </w:rPr>
      </w:pPr>
    </w:p>
    <w:p>
      <w:pPr>
        <w:pStyle w:val="76"/>
        <w:spacing w:after="156"/>
      </w:pPr>
      <w:r>
        <w:br w:type="textWrapping"/>
      </w:r>
      <w:bookmarkStart w:id="100" w:name="_Toc148526842"/>
      <w:r>
        <w:rPr>
          <w:rFonts w:hint="eastAsia"/>
        </w:rPr>
        <w:t>（规范性）</w:t>
      </w:r>
      <w:r>
        <w:br w:type="textWrapping"/>
      </w:r>
      <w:r>
        <w:rPr>
          <w:rFonts w:hint="eastAsia"/>
        </w:rPr>
        <w:t>二次供水设施提标改造评估技术路线</w:t>
      </w:r>
      <w:bookmarkEnd w:id="100"/>
    </w:p>
    <w:p>
      <w:pPr>
        <w:pStyle w:val="56"/>
        <w:ind w:firstLine="0" w:firstLineChars="0"/>
      </w:pPr>
    </w:p>
    <w:p>
      <w:pPr>
        <w:pStyle w:val="56"/>
        <w:ind w:firstLine="0" w:firstLineChars="0"/>
      </w:pPr>
      <w:r>
        <w:rPr>
          <w:rFonts w:hint="eastAsia"/>
        </w:rPr>
        <w:drawing>
          <wp:inline distT="0" distB="0" distL="114300" distR="114300">
            <wp:extent cx="5928360" cy="5501640"/>
            <wp:effectExtent l="0" t="0" r="0" b="0"/>
            <wp:docPr id="1" name="图片 1" descr="clipbord_169751522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lipbord_1697515221041"/>
                    <pic:cNvPicPr>
                      <a:picLocks noChangeAspect="1"/>
                    </pic:cNvPicPr>
                  </pic:nvPicPr>
                  <pic:blipFill>
                    <a:blip r:embed="rId16"/>
                    <a:stretch>
                      <a:fillRect/>
                    </a:stretch>
                  </pic:blipFill>
                  <pic:spPr>
                    <a:xfrm>
                      <a:off x="0" y="0"/>
                      <a:ext cx="5928360" cy="5501640"/>
                    </a:xfrm>
                    <a:prstGeom prst="rect">
                      <a:avLst/>
                    </a:prstGeom>
                  </pic:spPr>
                </pic:pic>
              </a:graphicData>
            </a:graphic>
          </wp:inline>
        </w:drawing>
      </w:r>
    </w:p>
    <w:p>
      <w:pPr>
        <w:pStyle w:val="56"/>
        <w:ind w:firstLine="0" w:firstLineChars="0"/>
      </w:pPr>
    </w:p>
    <w:p>
      <w:pPr>
        <w:pStyle w:val="83"/>
        <w:spacing w:before="156" w:after="156"/>
        <w:sectPr>
          <w:pgSz w:w="11906" w:h="16838"/>
          <w:pgMar w:top="1928" w:right="1134" w:bottom="1134" w:left="1134" w:header="1418" w:footer="1134" w:gutter="284"/>
          <w:cols w:space="425" w:num="1"/>
          <w:formProt w:val="0"/>
          <w:docGrid w:type="lines" w:linePitch="312" w:charSpace="0"/>
        </w:sectPr>
      </w:pPr>
      <w:r>
        <w:rPr>
          <w:rFonts w:hint="eastAsia"/>
        </w:rPr>
        <w:t>二次供水设施提标改造评估技术路线</w:t>
      </w:r>
    </w:p>
    <w:p>
      <w:pPr>
        <w:pStyle w:val="198"/>
        <w:rPr>
          <w:vanish w:val="0"/>
        </w:rPr>
      </w:pPr>
      <w:bookmarkStart w:id="101" w:name="bookmark94"/>
      <w:bookmarkEnd w:id="101"/>
      <w:bookmarkStart w:id="102" w:name="bookmark46"/>
      <w:bookmarkEnd w:id="102"/>
    </w:p>
    <w:p>
      <w:pPr>
        <w:pStyle w:val="199"/>
        <w:rPr>
          <w:vanish w:val="0"/>
        </w:rPr>
      </w:pPr>
    </w:p>
    <w:p>
      <w:pPr>
        <w:pStyle w:val="76"/>
        <w:spacing w:after="156"/>
      </w:pPr>
      <w:r>
        <w:br w:type="textWrapping"/>
      </w:r>
      <w:bookmarkStart w:id="103" w:name="_Toc148526843"/>
      <w:r>
        <w:rPr>
          <w:rFonts w:hint="eastAsia"/>
        </w:rPr>
        <w:t>（资料性）</w:t>
      </w:r>
      <w:r>
        <w:br w:type="textWrapping"/>
      </w:r>
      <w:r>
        <w:rPr>
          <w:rFonts w:hint="eastAsia"/>
        </w:rPr>
        <w:t>二次供水设施提标改造评估记录表</w:t>
      </w:r>
      <w:bookmarkEnd w:id="103"/>
    </w:p>
    <w:p>
      <w:pPr>
        <w:pStyle w:val="77"/>
        <w:spacing w:before="156" w:after="156"/>
      </w:pPr>
      <w:r>
        <w:rPr>
          <w:rFonts w:hint="eastAsia"/>
        </w:rPr>
        <w:t>二次供水设施提标改造评估记录表</w:t>
      </w:r>
    </w:p>
    <w:tbl>
      <w:tblPr>
        <w:tblStyle w:val="244"/>
        <w:tblW w:w="8696" w:type="dxa"/>
        <w:tblInd w:w="3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2"/>
        <w:gridCol w:w="1861"/>
        <w:gridCol w:w="3270"/>
        <w:gridCol w:w="192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42" w:type="dxa"/>
            <w:vAlign w:val="center"/>
          </w:tcPr>
          <w:p>
            <w:pPr>
              <w:pStyle w:val="243"/>
              <w:spacing w:before="148" w:line="220" w:lineRule="auto"/>
              <w:jc w:val="center"/>
            </w:pPr>
            <w:r>
              <w:rPr>
                <w:spacing w:val="-5"/>
              </w:rPr>
              <w:t>指标</w:t>
            </w:r>
          </w:p>
        </w:tc>
        <w:tc>
          <w:tcPr>
            <w:tcW w:w="1861" w:type="dxa"/>
            <w:vAlign w:val="center"/>
          </w:tcPr>
          <w:p>
            <w:pPr>
              <w:pStyle w:val="243"/>
              <w:spacing w:before="148" w:line="220" w:lineRule="auto"/>
              <w:jc w:val="center"/>
            </w:pPr>
            <w:r>
              <w:rPr>
                <w:spacing w:val="-3"/>
              </w:rPr>
              <w:t>定义描述</w:t>
            </w:r>
          </w:p>
        </w:tc>
        <w:tc>
          <w:tcPr>
            <w:tcW w:w="3270" w:type="dxa"/>
            <w:vAlign w:val="center"/>
          </w:tcPr>
          <w:p>
            <w:pPr>
              <w:pStyle w:val="243"/>
              <w:spacing w:before="148" w:line="219" w:lineRule="auto"/>
              <w:ind w:left="894"/>
            </w:pPr>
            <w:r>
              <w:rPr>
                <w:spacing w:val="-2"/>
              </w:rPr>
              <w:t>存在问题</w:t>
            </w:r>
          </w:p>
        </w:tc>
        <w:tc>
          <w:tcPr>
            <w:tcW w:w="1923" w:type="dxa"/>
            <w:vAlign w:val="center"/>
          </w:tcPr>
          <w:p>
            <w:pPr>
              <w:pStyle w:val="243"/>
              <w:spacing w:before="148" w:line="219" w:lineRule="auto"/>
              <w:ind w:left="853"/>
            </w:pPr>
            <w:r>
              <w:rPr>
                <w:spacing w:val="-3"/>
              </w:rPr>
              <w:t>是否改造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42" w:type="dxa"/>
            <w:vAlign w:val="center"/>
          </w:tcPr>
          <w:p>
            <w:pPr>
              <w:pStyle w:val="243"/>
              <w:spacing w:before="146" w:line="221" w:lineRule="auto"/>
            </w:pPr>
            <w:r>
              <w:rPr>
                <w:spacing w:val="-3"/>
              </w:rPr>
              <w:t>小区名称</w:t>
            </w:r>
          </w:p>
        </w:tc>
        <w:tc>
          <w:tcPr>
            <w:tcW w:w="1861" w:type="dxa"/>
            <w:vAlign w:val="center"/>
          </w:tcPr>
          <w:p>
            <w:pPr>
              <w:spacing w:before="251"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rPr>
                <w:rFonts w:ascii="宋体" w:hAnsi="宋体"/>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42" w:type="dxa"/>
            <w:vAlign w:val="center"/>
          </w:tcPr>
          <w:p>
            <w:pPr>
              <w:pStyle w:val="243"/>
              <w:spacing w:before="59" w:line="219" w:lineRule="auto"/>
            </w:pPr>
            <w:r>
              <w:rPr>
                <w:spacing w:val="-3"/>
              </w:rPr>
              <w:t>建设年代</w:t>
            </w:r>
          </w:p>
        </w:tc>
        <w:tc>
          <w:tcPr>
            <w:tcW w:w="1861" w:type="dxa"/>
            <w:vAlign w:val="center"/>
          </w:tcPr>
          <w:p>
            <w:pPr>
              <w:pStyle w:val="243"/>
              <w:spacing w:before="59" w:line="219" w:lineRule="auto"/>
            </w:pPr>
            <w:r>
              <w:rPr>
                <w:spacing w:val="-2"/>
              </w:rPr>
              <w:t>小区泵房建设年代</w:t>
            </w:r>
          </w:p>
        </w:tc>
        <w:tc>
          <w:tcPr>
            <w:tcW w:w="3270" w:type="dxa"/>
            <w:vAlign w:val="center"/>
          </w:tcPr>
          <w:p>
            <w:pPr>
              <w:rPr>
                <w:rFonts w:ascii="宋体" w:hAnsi="宋体"/>
                <w:sz w:val="18"/>
                <w:szCs w:val="18"/>
              </w:rPr>
            </w:pPr>
          </w:p>
        </w:tc>
        <w:tc>
          <w:tcPr>
            <w:tcW w:w="1923" w:type="dxa"/>
            <w:vAlign w:val="center"/>
          </w:tcPr>
          <w:p>
            <w:pPr>
              <w:pStyle w:val="243"/>
              <w:spacing w:before="146" w:line="219" w:lineRule="auto"/>
              <w:ind w:left="119"/>
              <w:rPr>
                <w:spacing w:val="-5"/>
              </w:rPr>
            </w:pPr>
            <w:r>
              <w:rPr>
                <w:rFonts w:hint="eastAsia" w:cs="Times New Roman"/>
                <w:spacing w:val="-5"/>
                <w:lang w:eastAsia="zh-CN"/>
              </w:rPr>
              <w:t>□</w:t>
            </w:r>
            <w:r>
              <w:rPr>
                <w:spacing w:val="-5"/>
              </w:rPr>
              <w:t>改造</w:t>
            </w:r>
          </w:p>
          <w:p>
            <w:pPr>
              <w:pStyle w:val="243"/>
              <w:spacing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59" w:line="219" w:lineRule="auto"/>
            </w:pPr>
            <w:r>
              <w:rPr>
                <w:spacing w:val="-2"/>
              </w:rPr>
              <w:t>供水系统</w:t>
            </w:r>
          </w:p>
        </w:tc>
        <w:tc>
          <w:tcPr>
            <w:tcW w:w="1861" w:type="dxa"/>
            <w:vAlign w:val="center"/>
          </w:tcPr>
          <w:p>
            <w:pPr>
              <w:spacing w:before="52"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6"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42" w:type="dxa"/>
            <w:vAlign w:val="center"/>
          </w:tcPr>
          <w:p>
            <w:pPr>
              <w:pStyle w:val="243"/>
              <w:spacing w:before="59" w:line="219" w:lineRule="auto"/>
            </w:pPr>
            <w:r>
              <w:rPr>
                <w:spacing w:val="-2"/>
              </w:rPr>
              <w:t>供水系统</w:t>
            </w:r>
          </w:p>
        </w:tc>
        <w:tc>
          <w:tcPr>
            <w:tcW w:w="1861" w:type="dxa"/>
            <w:vAlign w:val="center"/>
          </w:tcPr>
          <w:p>
            <w:pPr>
              <w:pStyle w:val="243"/>
              <w:spacing w:before="146" w:line="468" w:lineRule="exact"/>
              <w:ind w:left="114"/>
              <w:rPr>
                <w:lang w:eastAsia="zh-CN"/>
              </w:rPr>
            </w:pPr>
            <w:r>
              <w:rPr>
                <w:spacing w:val="13"/>
                <w:position w:val="22"/>
                <w:lang w:eastAsia="zh-CN"/>
              </w:rPr>
              <w:t>消防与生活供水系统是否</w:t>
            </w:r>
            <w:r>
              <w:rPr>
                <w:rFonts w:hint="eastAsia"/>
                <w:spacing w:val="13"/>
                <w:position w:val="22"/>
                <w:lang w:eastAsia="zh-CN"/>
              </w:rPr>
              <w:t>合用</w:t>
            </w:r>
          </w:p>
        </w:tc>
        <w:tc>
          <w:tcPr>
            <w:tcW w:w="3270" w:type="dxa"/>
            <w:vAlign w:val="center"/>
          </w:tcPr>
          <w:p>
            <w:pPr>
              <w:rPr>
                <w:rFonts w:ascii="宋体" w:hAnsi="宋体"/>
                <w:sz w:val="18"/>
                <w:szCs w:val="18"/>
              </w:rPr>
            </w:pPr>
          </w:p>
        </w:tc>
        <w:tc>
          <w:tcPr>
            <w:tcW w:w="1923" w:type="dxa"/>
            <w:vAlign w:val="center"/>
          </w:tcPr>
          <w:p>
            <w:pPr>
              <w:pStyle w:val="243"/>
              <w:spacing w:before="146"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58" w:line="219" w:lineRule="auto"/>
            </w:pPr>
            <w:r>
              <w:rPr>
                <w:rFonts w:hint="eastAsia"/>
                <w:spacing w:val="-9"/>
                <w:lang w:eastAsia="zh-CN"/>
              </w:rPr>
              <w:t>水池（箱）</w:t>
            </w:r>
            <w:r>
              <w:rPr>
                <w:spacing w:val="-9"/>
              </w:rPr>
              <w:t>材质</w:t>
            </w:r>
          </w:p>
        </w:tc>
        <w:tc>
          <w:tcPr>
            <w:tcW w:w="1861" w:type="dxa"/>
            <w:vAlign w:val="center"/>
          </w:tcPr>
          <w:p>
            <w:pPr>
              <w:spacing w:before="52"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7"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42" w:type="dxa"/>
            <w:vAlign w:val="center"/>
          </w:tcPr>
          <w:p>
            <w:pPr>
              <w:pStyle w:val="243"/>
              <w:spacing w:before="146" w:line="468" w:lineRule="exact"/>
            </w:pPr>
            <w:r>
              <w:rPr>
                <w:rFonts w:hint="eastAsia"/>
                <w:spacing w:val="-9"/>
                <w:position w:val="22"/>
                <w:lang w:eastAsia="zh-CN"/>
              </w:rPr>
              <w:t>水池（箱）</w:t>
            </w:r>
            <w:r>
              <w:rPr>
                <w:spacing w:val="-9"/>
                <w:position w:val="22"/>
              </w:rPr>
              <w:t>施工</w:t>
            </w:r>
            <w:r>
              <w:rPr>
                <w:rFonts w:hint="eastAsia"/>
                <w:spacing w:val="-9"/>
                <w:position w:val="22"/>
                <w:lang w:eastAsia="zh-CN"/>
              </w:rPr>
              <w:t>方式</w:t>
            </w:r>
          </w:p>
        </w:tc>
        <w:tc>
          <w:tcPr>
            <w:tcW w:w="1861" w:type="dxa"/>
            <w:vAlign w:val="center"/>
          </w:tcPr>
          <w:p>
            <w:pPr>
              <w:spacing w:before="52"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6"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58" w:line="219" w:lineRule="auto"/>
            </w:pPr>
            <w:r>
              <w:rPr>
                <w:spacing w:val="-5"/>
              </w:rPr>
              <w:t>水泵</w:t>
            </w:r>
          </w:p>
        </w:tc>
        <w:tc>
          <w:tcPr>
            <w:tcW w:w="1861" w:type="dxa"/>
            <w:vAlign w:val="center"/>
          </w:tcPr>
          <w:p>
            <w:pPr>
              <w:spacing w:before="52"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9"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148" w:line="468" w:lineRule="exact"/>
              <w:ind w:left="118"/>
            </w:pPr>
            <w:r>
              <w:rPr>
                <w:spacing w:val="20"/>
                <w:position w:val="22"/>
              </w:rPr>
              <w:t>管路系统及</w:t>
            </w:r>
            <w:r>
              <w:rPr>
                <w:rFonts w:hint="eastAsia"/>
                <w:spacing w:val="20"/>
                <w:position w:val="22"/>
                <w:lang w:eastAsia="zh-CN"/>
              </w:rPr>
              <w:t>附属设施</w:t>
            </w:r>
          </w:p>
        </w:tc>
        <w:tc>
          <w:tcPr>
            <w:tcW w:w="1861" w:type="dxa"/>
            <w:vAlign w:val="center"/>
          </w:tcPr>
          <w:p>
            <w:pPr>
              <w:pStyle w:val="243"/>
              <w:spacing w:before="59" w:line="219" w:lineRule="auto"/>
            </w:pPr>
            <w:r>
              <w:rPr>
                <w:spacing w:val="-2"/>
              </w:rPr>
              <w:t>生活供水系统</w:t>
            </w:r>
          </w:p>
        </w:tc>
        <w:tc>
          <w:tcPr>
            <w:tcW w:w="3270" w:type="dxa"/>
            <w:vAlign w:val="center"/>
          </w:tcPr>
          <w:p>
            <w:pPr>
              <w:rPr>
                <w:rFonts w:ascii="宋体" w:hAnsi="宋体"/>
                <w:sz w:val="18"/>
                <w:szCs w:val="18"/>
              </w:rPr>
            </w:pPr>
          </w:p>
        </w:tc>
        <w:tc>
          <w:tcPr>
            <w:tcW w:w="1923" w:type="dxa"/>
            <w:vAlign w:val="center"/>
          </w:tcPr>
          <w:p>
            <w:pPr>
              <w:pStyle w:val="243"/>
              <w:spacing w:before="149"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642" w:type="dxa"/>
            <w:vAlign w:val="center"/>
          </w:tcPr>
          <w:p>
            <w:pPr>
              <w:pStyle w:val="243"/>
              <w:spacing w:before="59" w:line="220" w:lineRule="auto"/>
            </w:pPr>
            <w:r>
              <w:rPr>
                <w:spacing w:val="-10"/>
              </w:rPr>
              <w:t>自控系统</w:t>
            </w:r>
          </w:p>
        </w:tc>
        <w:tc>
          <w:tcPr>
            <w:tcW w:w="1861" w:type="dxa"/>
            <w:vAlign w:val="center"/>
          </w:tcPr>
          <w:p>
            <w:pPr>
              <w:spacing w:before="52" w:line="86" w:lineRule="exact"/>
              <w:ind w:firstLine="91" w:firstLineChars="50"/>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8"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149" w:line="468" w:lineRule="exact"/>
              <w:ind w:left="113"/>
              <w:rPr>
                <w:lang w:eastAsia="zh-CN"/>
              </w:rPr>
            </w:pPr>
            <w:r>
              <w:rPr>
                <w:spacing w:val="21"/>
                <w:position w:val="22"/>
                <w:lang w:eastAsia="zh-CN"/>
              </w:rPr>
              <w:t>视频监控及数</w:t>
            </w:r>
          </w:p>
          <w:p>
            <w:pPr>
              <w:pStyle w:val="243"/>
              <w:spacing w:line="218" w:lineRule="auto"/>
              <w:ind w:left="113"/>
              <w:rPr>
                <w:lang w:eastAsia="zh-CN"/>
              </w:rPr>
            </w:pPr>
            <w:r>
              <w:rPr>
                <w:spacing w:val="-2"/>
                <w:lang w:eastAsia="zh-CN"/>
              </w:rPr>
              <w:t>据采集系统</w:t>
            </w:r>
          </w:p>
        </w:tc>
        <w:tc>
          <w:tcPr>
            <w:tcW w:w="1861" w:type="dxa"/>
            <w:vAlign w:val="center"/>
          </w:tcPr>
          <w:p>
            <w:pPr>
              <w:spacing w:before="51"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9"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642" w:type="dxa"/>
            <w:vAlign w:val="center"/>
          </w:tcPr>
          <w:p>
            <w:pPr>
              <w:pStyle w:val="243"/>
              <w:spacing w:before="59" w:line="219" w:lineRule="auto"/>
            </w:pPr>
            <w:r>
              <w:rPr>
                <w:spacing w:val="-2"/>
              </w:rPr>
              <w:t>泵房环境</w:t>
            </w:r>
          </w:p>
        </w:tc>
        <w:tc>
          <w:tcPr>
            <w:tcW w:w="1861" w:type="dxa"/>
            <w:vAlign w:val="center"/>
          </w:tcPr>
          <w:p>
            <w:pPr>
              <w:spacing w:before="52" w:line="86" w:lineRule="exact"/>
              <w:ind w:left="101"/>
              <w:rPr>
                <w:rFonts w:ascii="宋体" w:hAnsi="宋体"/>
                <w:sz w:val="18"/>
                <w:szCs w:val="18"/>
              </w:rPr>
            </w:pPr>
            <w:r>
              <w:rPr>
                <w:rFonts w:ascii="宋体" w:hAnsi="宋体"/>
                <w:spacing w:val="1"/>
                <w:position w:val="-2"/>
                <w:sz w:val="18"/>
                <w:szCs w:val="18"/>
              </w:rPr>
              <w:t>——</w:t>
            </w:r>
          </w:p>
        </w:tc>
        <w:tc>
          <w:tcPr>
            <w:tcW w:w="3270" w:type="dxa"/>
            <w:vAlign w:val="center"/>
          </w:tcPr>
          <w:p>
            <w:pPr>
              <w:rPr>
                <w:rFonts w:ascii="宋体" w:hAnsi="宋体"/>
                <w:sz w:val="18"/>
                <w:szCs w:val="18"/>
              </w:rPr>
            </w:pPr>
          </w:p>
        </w:tc>
        <w:tc>
          <w:tcPr>
            <w:tcW w:w="1923" w:type="dxa"/>
            <w:vAlign w:val="center"/>
          </w:tcPr>
          <w:p>
            <w:pPr>
              <w:pStyle w:val="243"/>
              <w:spacing w:before="149" w:line="219" w:lineRule="auto"/>
              <w:ind w:left="119"/>
            </w:pPr>
            <w:r>
              <w:rPr>
                <w:rFonts w:hint="eastAsia" w:cs="Times New Roman"/>
                <w:spacing w:val="-5"/>
                <w:lang w:eastAsia="zh-CN"/>
              </w:rPr>
              <w:t>□</w:t>
            </w:r>
            <w:r>
              <w:rPr>
                <w:spacing w:val="-5"/>
              </w:rPr>
              <w:t>改造</w:t>
            </w:r>
          </w:p>
          <w:p>
            <w:pPr>
              <w:pStyle w:val="243"/>
              <w:spacing w:before="254" w:line="219" w:lineRule="auto"/>
              <w:ind w:left="119"/>
            </w:pPr>
            <w:r>
              <w:rPr>
                <w:rFonts w:hint="eastAsia" w:cs="Times New Roman"/>
                <w:spacing w:val="-4"/>
                <w:lang w:eastAsia="zh-CN"/>
              </w:rPr>
              <w:t>□</w:t>
            </w:r>
            <w:r>
              <w:rPr>
                <w:spacing w:val="-4"/>
              </w:rPr>
              <w:t>不改造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1642" w:type="dxa"/>
            <w:vAlign w:val="center"/>
          </w:tcPr>
          <w:p>
            <w:pPr>
              <w:pStyle w:val="243"/>
              <w:spacing w:before="58" w:line="468" w:lineRule="exact"/>
            </w:pPr>
            <w:r>
              <w:rPr>
                <w:spacing w:val="21"/>
                <w:position w:val="22"/>
              </w:rPr>
              <w:t>设备设施维</w:t>
            </w:r>
            <w:r>
              <w:rPr>
                <w:rFonts w:hint="eastAsia"/>
                <w:spacing w:val="21"/>
                <w:position w:val="22"/>
                <w:lang w:eastAsia="zh-CN"/>
              </w:rPr>
              <w:t>次数</w:t>
            </w:r>
          </w:p>
        </w:tc>
        <w:tc>
          <w:tcPr>
            <w:tcW w:w="1861" w:type="dxa"/>
            <w:vAlign w:val="center"/>
          </w:tcPr>
          <w:p>
            <w:pPr>
              <w:pStyle w:val="243"/>
              <w:spacing w:before="148" w:line="480" w:lineRule="auto"/>
              <w:ind w:left="111" w:right="107" w:firstLine="4"/>
              <w:rPr>
                <w:rFonts w:cs="Times New Roman"/>
                <w:lang w:eastAsia="zh-CN"/>
              </w:rPr>
            </w:pPr>
            <w:r>
              <w:rPr>
                <w:spacing w:val="13"/>
                <w:lang w:eastAsia="zh-CN"/>
              </w:rPr>
              <w:t>小区近三年管道维修年平</w:t>
            </w:r>
            <w:r>
              <w:rPr>
                <w:spacing w:val="2"/>
                <w:lang w:eastAsia="zh-CN"/>
              </w:rPr>
              <w:t xml:space="preserve"> </w:t>
            </w:r>
            <w:r>
              <w:rPr>
                <w:spacing w:val="13"/>
                <w:lang w:eastAsia="zh-CN"/>
              </w:rPr>
              <w:t>均次数与居民住户数比值</w:t>
            </w:r>
            <w:r>
              <w:rPr>
                <w:rFonts w:cs="Times New Roman"/>
                <w:spacing w:val="-1"/>
                <w:lang w:eastAsia="zh-CN"/>
              </w:rPr>
              <w:t>A(</w:t>
            </w:r>
            <w:r>
              <w:rPr>
                <w:spacing w:val="-1"/>
                <w:lang w:eastAsia="zh-CN"/>
              </w:rPr>
              <w:t>次</w:t>
            </w:r>
            <w:r>
              <w:rPr>
                <w:rFonts w:cs="Times New Roman"/>
                <w:spacing w:val="-1"/>
                <w:lang w:eastAsia="zh-CN"/>
              </w:rPr>
              <w:t>/</w:t>
            </w:r>
            <w:r>
              <w:rPr>
                <w:spacing w:val="-1"/>
                <w:lang w:eastAsia="zh-CN"/>
              </w:rPr>
              <w:t>户</w:t>
            </w:r>
            <w:r>
              <w:rPr>
                <w:rFonts w:cs="Times New Roman"/>
                <w:spacing w:val="-1"/>
                <w:lang w:eastAsia="zh-CN"/>
              </w:rPr>
              <w:t>)</w:t>
            </w:r>
          </w:p>
        </w:tc>
        <w:tc>
          <w:tcPr>
            <w:tcW w:w="3270" w:type="dxa"/>
            <w:vAlign w:val="center"/>
          </w:tcPr>
          <w:p>
            <w:pPr>
              <w:rPr>
                <w:rFonts w:ascii="宋体" w:hAnsi="宋体"/>
                <w:sz w:val="18"/>
                <w:szCs w:val="18"/>
              </w:rPr>
            </w:pPr>
          </w:p>
        </w:tc>
        <w:tc>
          <w:tcPr>
            <w:tcW w:w="1923" w:type="dxa"/>
            <w:vAlign w:val="center"/>
          </w:tcPr>
          <w:p>
            <w:pPr>
              <w:pStyle w:val="243"/>
              <w:spacing w:before="148" w:line="480" w:lineRule="auto"/>
              <w:ind w:left="107" w:right="97" w:firstLine="9"/>
            </w:pPr>
            <w:r>
              <w:rPr>
                <w:spacing w:val="-10"/>
              </w:rPr>
              <w:t>维</w:t>
            </w:r>
            <w:r>
              <w:rPr>
                <w:spacing w:val="-23"/>
              </w:rPr>
              <w:t xml:space="preserve"> </w:t>
            </w:r>
            <w:r>
              <w:rPr>
                <w:spacing w:val="-10"/>
              </w:rPr>
              <w:t>修</w:t>
            </w:r>
            <w:r>
              <w:rPr>
                <w:spacing w:val="-26"/>
              </w:rPr>
              <w:t xml:space="preserve"> </w:t>
            </w:r>
            <w:r>
              <w:rPr>
                <w:spacing w:val="-10"/>
              </w:rPr>
              <w:t>率</w:t>
            </w:r>
            <w:r>
              <w:rPr>
                <w:spacing w:val="-26"/>
              </w:rPr>
              <w:t xml:space="preserve"> </w:t>
            </w:r>
            <w:r>
              <w:rPr>
                <w:spacing w:val="-10"/>
              </w:rPr>
              <w:t>分</w:t>
            </w:r>
            <w:r>
              <w:rPr>
                <w:spacing w:val="-27"/>
              </w:rPr>
              <w:t xml:space="preserve"> </w:t>
            </w:r>
            <w:r>
              <w:rPr>
                <w:spacing w:val="-10"/>
              </w:rPr>
              <w:t>值</w:t>
            </w:r>
            <w:r>
              <w:rPr>
                <w:spacing w:val="-28"/>
              </w:rPr>
              <w:t xml:space="preserve"> </w:t>
            </w:r>
            <w:r>
              <w:rPr>
                <w:spacing w:val="-10"/>
              </w:rPr>
              <w:t>计</w:t>
            </w:r>
            <w:r>
              <w:rPr>
                <w:spacing w:val="-27"/>
              </w:rPr>
              <w:t xml:space="preserve"> </w:t>
            </w:r>
            <w:r>
              <w:rPr>
                <w:spacing w:val="-10"/>
              </w:rPr>
              <w:t>算 ：</w:t>
            </w:r>
            <w:r>
              <w:rPr>
                <w:spacing w:val="-28"/>
              </w:rPr>
              <w:t xml:space="preserve"> </w:t>
            </w:r>
            <w:r>
              <w:rPr>
                <w:rFonts w:cs="Times New Roman"/>
                <w:spacing w:val="-10"/>
              </w:rPr>
              <w:t>5</w:t>
            </w:r>
            <w:r>
              <w:rPr>
                <w:rFonts w:cs="Times New Roman"/>
                <w:spacing w:val="-29"/>
              </w:rPr>
              <w:t xml:space="preserve"> </w:t>
            </w:r>
            <w:r>
              <w:rPr>
                <w:rFonts w:cs="Times New Roman"/>
                <w:spacing w:val="-10"/>
              </w:rPr>
              <w:t>×A</w:t>
            </w:r>
            <w:r>
              <w:rPr>
                <w:rFonts w:cs="Times New Roman"/>
              </w:rPr>
              <w:t xml:space="preserve"> /MAX(A)</w:t>
            </w:r>
            <w:r>
              <w:rPr>
                <w:rFonts w:cs="Times New Roman"/>
                <w:spacing w:val="-8"/>
              </w:rPr>
              <w:t xml:space="preserve"> </w:t>
            </w:r>
            <w:r>
              <w:t>，如无法提供原始</w:t>
            </w:r>
            <w:r>
              <w:rPr>
                <w:spacing w:val="-1"/>
              </w:rPr>
              <w:t>基础数据，统一得</w:t>
            </w:r>
            <w:r>
              <w:rPr>
                <w:spacing w:val="-41"/>
              </w:rPr>
              <w:t xml:space="preserve"> </w:t>
            </w:r>
            <w:r>
              <w:rPr>
                <w:rFonts w:cs="Times New Roman"/>
                <w:spacing w:val="-1"/>
              </w:rPr>
              <w:t>2</w:t>
            </w:r>
            <w:r>
              <w:rPr>
                <w:spacing w:val="-1"/>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8696" w:type="dxa"/>
            <w:gridSpan w:val="4"/>
            <w:tcBorders>
              <w:top w:val="single" w:color="000000" w:sz="8" w:space="0"/>
              <w:bottom w:val="single" w:color="000000" w:sz="8" w:space="0"/>
            </w:tcBorders>
            <w:shd w:val="clear" w:color="auto" w:fill="auto"/>
            <w:vAlign w:val="center"/>
          </w:tcPr>
          <w:p>
            <w:pPr>
              <w:pStyle w:val="101"/>
              <w:numPr>
                <w:ilvl w:val="0"/>
                <w:numId w:val="0"/>
              </w:numPr>
              <w:ind w:left="539"/>
            </w:pPr>
            <w:r>
              <w:rPr>
                <w:rFonts w:hint="eastAsia"/>
              </w:rPr>
              <w:t>注：</w:t>
            </w:r>
          </w:p>
          <w:p>
            <w:pPr>
              <w:pStyle w:val="101"/>
            </w:pPr>
            <w:r>
              <w:t>建设年代是以房产证或建设(开发)单位售房合同时间为准；</w:t>
            </w:r>
          </w:p>
          <w:p>
            <w:pPr>
              <w:pStyle w:val="101"/>
            </w:pPr>
            <w:r>
              <w:t>小区户数是以小区房产证、购房合同等合法产权证明数量之和为准；</w:t>
            </w:r>
          </w:p>
          <w:p>
            <w:pPr>
              <w:pStyle w:val="101"/>
            </w:pPr>
            <w:r>
              <w:t>消防与生活供水系统合用情况包括管道和</w:t>
            </w:r>
            <w:r>
              <w:rPr>
                <w:rFonts w:hint="eastAsia"/>
              </w:rPr>
              <w:t>水池（箱）</w:t>
            </w:r>
            <w:r>
              <w:t>部分；</w:t>
            </w:r>
          </w:p>
          <w:p>
            <w:pPr>
              <w:pStyle w:val="101"/>
            </w:pPr>
            <w:r>
              <w:t>管道维修和水质水压投诉数据需核实原始规范记录。</w:t>
            </w:r>
          </w:p>
        </w:tc>
      </w:tr>
    </w:tbl>
    <w:p>
      <w:pPr>
        <w:pStyle w:val="56"/>
        <w:ind w:firstLine="420"/>
      </w:pPr>
      <w:bookmarkStart w:id="104" w:name="脚注"/>
      <w:bookmarkEnd w:id="104"/>
    </w:p>
    <w:p>
      <w:pPr>
        <w:pStyle w:val="56"/>
        <w:ind w:firstLine="420"/>
      </w:pPr>
    </w:p>
    <w:p>
      <w:pPr>
        <w:pStyle w:val="56"/>
        <w:ind w:firstLine="420"/>
      </w:pPr>
    </w:p>
    <w:p>
      <w:pPr>
        <w:pStyle w:val="56"/>
        <w:ind w:firstLine="420"/>
      </w:pPr>
    </w:p>
    <w:p>
      <w:pPr>
        <w:pStyle w:val="199"/>
        <w:rPr>
          <w:vanish w:val="0"/>
        </w:rPr>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8"/>
        <w:rPr>
          <w:vanish w:val="0"/>
        </w:rPr>
      </w:pPr>
    </w:p>
    <w:p>
      <w:pPr>
        <w:pStyle w:val="199"/>
        <w:rPr>
          <w:vanish w:val="0"/>
        </w:rPr>
      </w:pPr>
    </w:p>
    <w:p>
      <w:pPr>
        <w:pStyle w:val="76"/>
        <w:spacing w:after="156"/>
      </w:pPr>
      <w:r>
        <w:br w:type="textWrapping"/>
      </w:r>
      <w:bookmarkStart w:id="105" w:name="_Toc148526844"/>
      <w:r>
        <w:rPr>
          <w:rFonts w:hint="eastAsia"/>
        </w:rPr>
        <w:t>（资料性）</w:t>
      </w:r>
      <w:r>
        <w:br w:type="textWrapping"/>
      </w:r>
      <w:r>
        <w:rPr>
          <w:rFonts w:hint="eastAsia"/>
        </w:rPr>
        <w:t>二次供水设施提标改造申请资料</w:t>
      </w:r>
      <w:bookmarkEnd w:id="105"/>
    </w:p>
    <w:p>
      <w:pPr>
        <w:pStyle w:val="211"/>
      </w:pPr>
      <w:r>
        <w:rPr>
          <w:rFonts w:hint="eastAsia"/>
        </w:rPr>
        <w:t>产权单位或由其委托管理单位的书面申请书。</w:t>
      </w:r>
    </w:p>
    <w:p>
      <w:pPr>
        <w:pStyle w:val="211"/>
      </w:pPr>
      <w:r>
        <w:rPr>
          <w:rFonts w:hint="eastAsia"/>
        </w:rPr>
        <w:t>二次供水设施现状给排水、建筑、结构和电气等专业纸质图纸两份。</w:t>
      </w:r>
    </w:p>
    <w:p>
      <w:pPr>
        <w:pStyle w:val="211"/>
      </w:pPr>
      <w:r>
        <w:rPr>
          <w:rFonts w:hint="eastAsia"/>
        </w:rPr>
        <w:t>近三年居民小区二次供水设施清洗记录、水质检测报告、加压供水量及用电量数据等运行管理资料。</w:t>
      </w:r>
    </w:p>
    <w:p>
      <w:pPr>
        <w:pStyle w:val="211"/>
      </w:pPr>
      <w:r>
        <w:rPr>
          <w:rFonts w:hint="eastAsia"/>
        </w:rPr>
        <w:t>居民小区二次供水设施调查表，见表 C.</w:t>
      </w:r>
      <w:r>
        <w:t>1</w:t>
      </w:r>
      <w:r>
        <w:rPr>
          <w:rFonts w:hint="eastAsia"/>
        </w:rPr>
        <w:t>。</w:t>
      </w:r>
    </w:p>
    <w:p>
      <w:pPr>
        <w:pStyle w:val="77"/>
        <w:spacing w:before="156" w:after="156"/>
      </w:pPr>
      <w:r>
        <w:rPr>
          <w:rFonts w:hint="eastAsia"/>
        </w:rPr>
        <w:t>居民小区二次供水设施调查表</w:t>
      </w:r>
    </w:p>
    <w:tbl>
      <w:tblPr>
        <w:tblStyle w:val="244"/>
        <w:tblW w:w="9365"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49"/>
        <w:gridCol w:w="1778"/>
        <w:gridCol w:w="949"/>
        <w:gridCol w:w="677"/>
        <w:gridCol w:w="598"/>
        <w:gridCol w:w="425"/>
        <w:gridCol w:w="113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1" w:hRule="atLeast"/>
        </w:trPr>
        <w:tc>
          <w:tcPr>
            <w:tcW w:w="1249" w:type="dxa"/>
            <w:vAlign w:val="center"/>
          </w:tcPr>
          <w:p>
            <w:pPr>
              <w:pStyle w:val="243"/>
              <w:spacing w:before="58" w:line="219" w:lineRule="auto"/>
              <w:jc w:val="center"/>
            </w:pPr>
            <w:r>
              <w:rPr>
                <w:spacing w:val="-2"/>
              </w:rPr>
              <w:t>基本情况</w:t>
            </w:r>
          </w:p>
        </w:tc>
        <w:tc>
          <w:tcPr>
            <w:tcW w:w="4002" w:type="dxa"/>
            <w:gridSpan w:val="4"/>
          </w:tcPr>
          <w:p>
            <w:pPr>
              <w:pStyle w:val="243"/>
              <w:spacing w:before="148" w:line="480" w:lineRule="exact"/>
              <w:ind w:left="110"/>
              <w:rPr>
                <w:lang w:eastAsia="zh-CN"/>
              </w:rPr>
            </w:pPr>
            <w:r>
              <w:rPr>
                <w:spacing w:val="-2"/>
                <w:position w:val="23"/>
                <w:lang w:eastAsia="zh-CN"/>
              </w:rPr>
              <w:t>泵房名称：</w:t>
            </w:r>
          </w:p>
          <w:p>
            <w:pPr>
              <w:pStyle w:val="243"/>
              <w:spacing w:line="220" w:lineRule="auto"/>
              <w:ind w:left="111"/>
              <w:rPr>
                <w:lang w:eastAsia="zh-CN"/>
              </w:rPr>
            </w:pPr>
            <w:r>
              <w:rPr>
                <w:spacing w:val="-2"/>
                <w:lang w:eastAsia="zh-CN"/>
              </w:rPr>
              <w:t>详细地址：</w:t>
            </w:r>
          </w:p>
          <w:p>
            <w:pPr>
              <w:pStyle w:val="243"/>
              <w:spacing w:before="261" w:line="219" w:lineRule="auto"/>
              <w:ind w:left="109"/>
              <w:rPr>
                <w:lang w:eastAsia="zh-CN"/>
              </w:rPr>
            </w:pPr>
            <w:r>
              <w:rPr>
                <w:spacing w:val="-2"/>
                <w:lang w:eastAsia="zh-CN"/>
              </w:rPr>
              <w:t>供水户数：</w:t>
            </w:r>
          </w:p>
          <w:p>
            <w:pPr>
              <w:pStyle w:val="243"/>
              <w:spacing w:before="264" w:line="219" w:lineRule="auto"/>
              <w:ind w:left="110"/>
              <w:rPr>
                <w:lang w:eastAsia="zh-CN"/>
              </w:rPr>
            </w:pPr>
            <w:r>
              <w:rPr>
                <w:spacing w:val="-2"/>
                <w:lang w:eastAsia="zh-CN"/>
              </w:rPr>
              <w:t>年总供水量：</w:t>
            </w:r>
          </w:p>
          <w:p>
            <w:pPr>
              <w:pStyle w:val="243"/>
              <w:spacing w:before="264" w:line="478" w:lineRule="exact"/>
              <w:ind w:left="108"/>
              <w:rPr>
                <w:lang w:eastAsia="zh-CN"/>
              </w:rPr>
            </w:pPr>
            <w:r>
              <w:rPr>
                <w:spacing w:val="-1"/>
                <w:position w:val="23"/>
                <w:lang w:eastAsia="zh-CN"/>
              </w:rPr>
              <w:t>初次建设年月：</w:t>
            </w:r>
          </w:p>
          <w:p>
            <w:pPr>
              <w:pStyle w:val="243"/>
              <w:spacing w:line="219" w:lineRule="auto"/>
              <w:ind w:left="114"/>
              <w:rPr>
                <w:lang w:eastAsia="zh-CN"/>
              </w:rPr>
            </w:pPr>
            <w:r>
              <w:rPr>
                <w:spacing w:val="-2"/>
                <w:lang w:eastAsia="zh-CN"/>
              </w:rPr>
              <w:t>市政管管径：</w:t>
            </w:r>
          </w:p>
          <w:p>
            <w:pPr>
              <w:pStyle w:val="243"/>
              <w:spacing w:before="264" w:line="212" w:lineRule="auto"/>
              <w:ind w:left="114"/>
              <w:rPr>
                <w:rFonts w:cs="Times New Roman"/>
                <w:lang w:eastAsia="zh-CN"/>
              </w:rPr>
            </w:pPr>
            <w:r>
              <w:rPr>
                <w:spacing w:val="-1"/>
                <w:lang w:eastAsia="zh-CN"/>
              </w:rPr>
              <w:t>市政进水水质</w:t>
            </w:r>
            <w:r>
              <w:rPr>
                <w:rFonts w:cs="Times New Roman"/>
                <w:spacing w:val="-1"/>
                <w:lang w:eastAsia="zh-CN"/>
              </w:rPr>
              <w:t>(</w:t>
            </w:r>
            <w:r>
              <w:rPr>
                <w:spacing w:val="-1"/>
                <w:lang w:eastAsia="zh-CN"/>
              </w:rPr>
              <w:t>余氯、浊度</w:t>
            </w:r>
            <w:r>
              <w:rPr>
                <w:rFonts w:cs="Times New Roman"/>
                <w:spacing w:val="-1"/>
                <w:lang w:eastAsia="zh-CN"/>
              </w:rPr>
              <w:t>)</w:t>
            </w:r>
            <w:r>
              <w:rPr>
                <w:rFonts w:hint="eastAsia" w:cs="Times New Roman"/>
                <w:spacing w:val="-1"/>
                <w:lang w:eastAsia="zh-CN"/>
              </w:rPr>
              <w:t>：</w:t>
            </w:r>
          </w:p>
        </w:tc>
        <w:tc>
          <w:tcPr>
            <w:tcW w:w="4114" w:type="dxa"/>
            <w:gridSpan w:val="3"/>
          </w:tcPr>
          <w:p>
            <w:pPr>
              <w:pStyle w:val="243"/>
              <w:spacing w:before="148" w:line="219" w:lineRule="auto"/>
              <w:ind w:left="113"/>
              <w:rPr>
                <w:lang w:eastAsia="zh-CN"/>
              </w:rPr>
            </w:pPr>
            <w:r>
              <w:rPr>
                <w:spacing w:val="-2"/>
                <w:lang w:eastAsia="zh-CN"/>
              </w:rPr>
              <w:t>所属街道：</w:t>
            </w:r>
          </w:p>
          <w:p>
            <w:pPr>
              <w:pStyle w:val="243"/>
              <w:spacing w:before="266" w:line="477" w:lineRule="exact"/>
              <w:ind w:left="114"/>
              <w:rPr>
                <w:lang w:eastAsia="zh-CN"/>
              </w:rPr>
            </w:pPr>
            <w:r>
              <w:rPr>
                <w:spacing w:val="-2"/>
                <w:position w:val="23"/>
                <w:lang w:eastAsia="zh-CN"/>
              </w:rPr>
              <w:t>泵房地面标高：</w:t>
            </w:r>
          </w:p>
          <w:p>
            <w:pPr>
              <w:pStyle w:val="243"/>
              <w:spacing w:line="218" w:lineRule="auto"/>
              <w:ind w:left="113"/>
              <w:rPr>
                <w:lang w:eastAsia="zh-CN"/>
              </w:rPr>
            </w:pPr>
            <w:r>
              <w:rPr>
                <w:spacing w:val="-2"/>
                <w:lang w:eastAsia="zh-CN"/>
              </w:rPr>
              <w:t>供水楼层</w:t>
            </w:r>
            <w:r>
              <w:rPr>
                <w:rFonts w:hint="eastAsia"/>
                <w:spacing w:val="-2"/>
                <w:lang w:eastAsia="zh-CN"/>
              </w:rPr>
              <w:t>：</w:t>
            </w:r>
          </w:p>
          <w:p>
            <w:pPr>
              <w:pStyle w:val="243"/>
              <w:spacing w:before="264" w:line="219" w:lineRule="auto"/>
              <w:ind w:left="114"/>
              <w:rPr>
                <w:lang w:eastAsia="zh-CN"/>
              </w:rPr>
            </w:pPr>
            <w:r>
              <w:rPr>
                <w:spacing w:val="-2"/>
                <w:lang w:eastAsia="zh-CN"/>
              </w:rPr>
              <w:t>年总耗电量：</w:t>
            </w:r>
          </w:p>
          <w:p>
            <w:pPr>
              <w:pStyle w:val="243"/>
              <w:spacing w:before="264" w:line="478" w:lineRule="exact"/>
              <w:ind w:left="116"/>
              <w:rPr>
                <w:lang w:eastAsia="zh-CN"/>
              </w:rPr>
            </w:pPr>
            <w:r>
              <w:rPr>
                <w:spacing w:val="-2"/>
                <w:position w:val="23"/>
                <w:lang w:eastAsia="zh-CN"/>
              </w:rPr>
              <w:t>最后改造年月：</w:t>
            </w:r>
          </w:p>
          <w:p>
            <w:pPr>
              <w:pStyle w:val="243"/>
              <w:spacing w:line="219" w:lineRule="auto"/>
              <w:ind w:left="127"/>
              <w:rPr>
                <w:lang w:eastAsia="zh-CN"/>
              </w:rPr>
            </w:pPr>
            <w:r>
              <w:rPr>
                <w:spacing w:val="-4"/>
                <w:lang w:eastAsia="zh-CN"/>
              </w:rPr>
              <w:t>引入管管径：</w:t>
            </w:r>
          </w:p>
          <w:p>
            <w:pPr>
              <w:pStyle w:val="243"/>
              <w:spacing w:before="264" w:line="219" w:lineRule="auto"/>
              <w:ind w:left="129"/>
            </w:pPr>
            <w:r>
              <w:rPr>
                <w:spacing w:val="-5"/>
              </w:rPr>
              <w:t>出水压力：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7" w:hRule="atLeast"/>
        </w:trPr>
        <w:tc>
          <w:tcPr>
            <w:tcW w:w="1249" w:type="dxa"/>
            <w:vAlign w:val="center"/>
          </w:tcPr>
          <w:p>
            <w:pPr>
              <w:pStyle w:val="243"/>
              <w:spacing w:before="58" w:line="219" w:lineRule="auto"/>
              <w:jc w:val="center"/>
            </w:pPr>
            <w:r>
              <w:rPr>
                <w:spacing w:val="-2"/>
              </w:rPr>
              <w:t>二次供水方式</w:t>
            </w:r>
          </w:p>
        </w:tc>
        <w:tc>
          <w:tcPr>
            <w:tcW w:w="8116" w:type="dxa"/>
            <w:gridSpan w:val="7"/>
          </w:tcPr>
          <w:p>
            <w:pPr>
              <w:pStyle w:val="243"/>
              <w:spacing w:before="147" w:line="219" w:lineRule="auto"/>
              <w:ind w:left="115"/>
              <w:rPr>
                <w:lang w:eastAsia="zh-CN"/>
              </w:rPr>
            </w:pPr>
            <w:r>
              <w:rPr>
                <w:rFonts w:hint="eastAsia" w:cs="Times New Roman"/>
                <w:spacing w:val="-2"/>
                <w:lang w:eastAsia="zh-CN"/>
              </w:rPr>
              <w:t>□</w:t>
            </w:r>
            <w:r>
              <w:rPr>
                <w:spacing w:val="-2"/>
                <w:lang w:eastAsia="zh-CN"/>
              </w:rPr>
              <w:t>低位水池</w:t>
            </w:r>
            <w:r>
              <w:rPr>
                <w:rFonts w:cs="Times New Roman"/>
                <w:spacing w:val="-2"/>
                <w:lang w:eastAsia="zh-CN"/>
              </w:rPr>
              <w:t>+</w:t>
            </w:r>
            <w:r>
              <w:rPr>
                <w:spacing w:val="-2"/>
                <w:lang w:eastAsia="zh-CN"/>
              </w:rPr>
              <w:t>变频水泵</w:t>
            </w:r>
          </w:p>
          <w:p>
            <w:pPr>
              <w:pStyle w:val="243"/>
              <w:spacing w:before="264" w:line="219" w:lineRule="auto"/>
              <w:ind w:left="115"/>
              <w:rPr>
                <w:lang w:eastAsia="zh-CN"/>
              </w:rPr>
            </w:pPr>
            <w:r>
              <w:rPr>
                <w:rFonts w:hint="eastAsia" w:cs="Times New Roman"/>
                <w:spacing w:val="-1"/>
                <w:lang w:eastAsia="zh-CN"/>
              </w:rPr>
              <w:t>□</w:t>
            </w:r>
            <w:r>
              <w:rPr>
                <w:spacing w:val="-1"/>
                <w:lang w:eastAsia="zh-CN"/>
              </w:rPr>
              <w:t>低位水池</w:t>
            </w:r>
            <w:r>
              <w:rPr>
                <w:rFonts w:cs="Times New Roman"/>
                <w:spacing w:val="-1"/>
                <w:lang w:eastAsia="zh-CN"/>
              </w:rPr>
              <w:t>+</w:t>
            </w:r>
            <w:r>
              <w:rPr>
                <w:spacing w:val="-1"/>
                <w:lang w:eastAsia="zh-CN"/>
              </w:rPr>
              <w:t>水泵</w:t>
            </w:r>
            <w:r>
              <w:rPr>
                <w:rFonts w:cs="Times New Roman"/>
                <w:spacing w:val="-1"/>
                <w:lang w:eastAsia="zh-CN"/>
              </w:rPr>
              <w:t>+</w:t>
            </w:r>
            <w:r>
              <w:rPr>
                <w:spacing w:val="-1"/>
                <w:lang w:eastAsia="zh-CN"/>
              </w:rPr>
              <w:t>屋顶水箱</w:t>
            </w:r>
          </w:p>
          <w:p>
            <w:pPr>
              <w:pStyle w:val="243"/>
              <w:spacing w:before="264" w:line="219" w:lineRule="auto"/>
              <w:ind w:left="115"/>
              <w:rPr>
                <w:lang w:eastAsia="zh-CN"/>
              </w:rPr>
            </w:pPr>
            <w:r>
              <w:rPr>
                <w:rFonts w:hint="eastAsia" w:cs="Times New Roman"/>
                <w:spacing w:val="-2"/>
                <w:lang w:eastAsia="zh-CN"/>
              </w:rPr>
              <w:t>□</w:t>
            </w:r>
            <w:r>
              <w:rPr>
                <w:spacing w:val="-2"/>
                <w:lang w:eastAsia="zh-CN"/>
              </w:rPr>
              <w:t>水泵</w:t>
            </w:r>
            <w:r>
              <w:rPr>
                <w:rFonts w:cs="Times New Roman"/>
                <w:spacing w:val="-2"/>
                <w:lang w:eastAsia="zh-CN"/>
              </w:rPr>
              <w:t>+</w:t>
            </w:r>
            <w:r>
              <w:rPr>
                <w:spacing w:val="-2"/>
                <w:lang w:eastAsia="zh-CN"/>
              </w:rPr>
              <w:t>屋顶水箱</w:t>
            </w:r>
          </w:p>
          <w:p>
            <w:pPr>
              <w:pStyle w:val="243"/>
              <w:spacing w:before="264" w:line="219" w:lineRule="auto"/>
              <w:ind w:left="115"/>
              <w:rPr>
                <w:lang w:eastAsia="zh-CN"/>
              </w:rPr>
            </w:pPr>
            <w:r>
              <w:rPr>
                <w:rFonts w:hint="eastAsia" w:cs="Times New Roman"/>
                <w:spacing w:val="-2"/>
                <w:lang w:eastAsia="zh-CN"/>
              </w:rPr>
              <w:t>□</w:t>
            </w:r>
            <w:r>
              <w:rPr>
                <w:spacing w:val="-2"/>
                <w:lang w:eastAsia="zh-CN"/>
              </w:rPr>
              <w:t>市政管网</w:t>
            </w:r>
            <w:r>
              <w:rPr>
                <w:rFonts w:cs="Times New Roman"/>
                <w:spacing w:val="-2"/>
                <w:lang w:eastAsia="zh-CN"/>
              </w:rPr>
              <w:t>+</w:t>
            </w:r>
            <w:r>
              <w:rPr>
                <w:spacing w:val="-2"/>
                <w:lang w:eastAsia="zh-CN"/>
              </w:rPr>
              <w:t>屋顶水箱</w:t>
            </w:r>
          </w:p>
          <w:p>
            <w:pPr>
              <w:pStyle w:val="243"/>
              <w:spacing w:before="263" w:line="212" w:lineRule="auto"/>
              <w:ind w:left="115"/>
              <w:rPr>
                <w:lang w:eastAsia="zh-CN"/>
              </w:rPr>
            </w:pPr>
            <w:r>
              <w:rPr>
                <w:rFonts w:hint="eastAsia" w:cs="Times New Roman"/>
                <w:spacing w:val="-1"/>
                <w:lang w:eastAsia="zh-CN"/>
              </w:rPr>
              <w:t>□</w:t>
            </w:r>
            <w:r>
              <w:rPr>
                <w:spacing w:val="-1"/>
                <w:lang w:eastAsia="zh-CN"/>
              </w:rPr>
              <w:t>叠压设备</w:t>
            </w:r>
            <w:r>
              <w:rPr>
                <w:rFonts w:cs="Times New Roman"/>
                <w:spacing w:val="-1"/>
                <w:lang w:eastAsia="zh-CN"/>
              </w:rPr>
              <w:t>(</w:t>
            </w:r>
            <w:r>
              <w:rPr>
                <w:spacing w:val="-1"/>
                <w:lang w:eastAsia="zh-CN"/>
              </w:rPr>
              <w:t>工频</w:t>
            </w:r>
            <w:r>
              <w:rPr>
                <w:rFonts w:cs="Times New Roman"/>
                <w:spacing w:val="-1"/>
                <w:lang w:eastAsia="zh-CN"/>
              </w:rPr>
              <w:t>)+</w:t>
            </w:r>
            <w:r>
              <w:rPr>
                <w:spacing w:val="-1"/>
                <w:lang w:eastAsia="zh-CN"/>
              </w:rPr>
              <w:t>屋顶水箱</w:t>
            </w:r>
          </w:p>
          <w:p>
            <w:pPr>
              <w:pStyle w:val="243"/>
              <w:spacing w:before="270" w:line="212" w:lineRule="auto"/>
              <w:ind w:left="115"/>
              <w:rPr>
                <w:rFonts w:cs="Times New Roman"/>
              </w:rPr>
            </w:pPr>
            <w:r>
              <w:rPr>
                <w:rFonts w:hint="eastAsia" w:cs="Times New Roman"/>
                <w:spacing w:val="-2"/>
                <w:lang w:eastAsia="zh-CN"/>
              </w:rPr>
              <w:t>□</w:t>
            </w:r>
            <w:r>
              <w:rPr>
                <w:spacing w:val="-2"/>
              </w:rPr>
              <w:t>叠压设备</w:t>
            </w:r>
            <w:r>
              <w:rPr>
                <w:rFonts w:cs="Times New Roman"/>
                <w:spacing w:val="-2"/>
              </w:rPr>
              <w:t>(</w:t>
            </w:r>
            <w:r>
              <w:rPr>
                <w:spacing w:val="-2"/>
              </w:rPr>
              <w:t>变频</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rPr>
                <w:lang w:eastAsia="zh-CN"/>
              </w:rPr>
            </w:pPr>
            <w:r>
              <w:rPr>
                <w:rFonts w:hint="eastAsia"/>
                <w:spacing w:val="-2"/>
                <w:lang w:eastAsia="zh-CN"/>
              </w:rPr>
              <w:t>水池（箱）</w:t>
            </w:r>
          </w:p>
        </w:tc>
        <w:tc>
          <w:tcPr>
            <w:tcW w:w="1778" w:type="dxa"/>
            <w:vAlign w:val="center"/>
          </w:tcPr>
          <w:p>
            <w:pPr>
              <w:pStyle w:val="243"/>
              <w:spacing w:before="148" w:line="220" w:lineRule="auto"/>
              <w:jc w:val="center"/>
            </w:pPr>
            <w:r>
              <w:rPr>
                <w:spacing w:val="-2"/>
              </w:rPr>
              <w:t>生活与消防</w:t>
            </w:r>
            <w:r>
              <w:rPr>
                <w:spacing w:val="-3"/>
              </w:rPr>
              <w:t>是否独立</w:t>
            </w:r>
          </w:p>
        </w:tc>
        <w:tc>
          <w:tcPr>
            <w:tcW w:w="6338" w:type="dxa"/>
            <w:gridSpan w:val="6"/>
            <w:vAlign w:val="center"/>
          </w:tcPr>
          <w:p>
            <w:pPr>
              <w:pStyle w:val="243"/>
              <w:spacing w:before="59" w:line="220" w:lineRule="auto"/>
            </w:pPr>
            <w:r>
              <w:rPr>
                <w:rFonts w:hint="eastAsia" w:cs="Times New Roman"/>
                <w:spacing w:val="-4"/>
                <w:lang w:eastAsia="zh-CN"/>
              </w:rPr>
              <w:t>□</w:t>
            </w:r>
            <w:r>
              <w:rPr>
                <w:spacing w:val="-4"/>
              </w:rPr>
              <w:t>是</w:t>
            </w:r>
            <w:r>
              <w:rPr>
                <w:rFonts w:hint="eastAsia" w:cs="Times New Roman"/>
                <w:spacing w:val="-4"/>
                <w:lang w:eastAsia="zh-CN"/>
              </w:rPr>
              <w:t>□</w:t>
            </w:r>
            <w:r>
              <w:rPr>
                <w:spacing w:val="-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154" w:line="219" w:lineRule="auto"/>
              <w:jc w:val="center"/>
            </w:pPr>
            <w:r>
              <w:rPr>
                <w:spacing w:val="-2"/>
              </w:rPr>
              <w:t>生活水池个</w:t>
            </w:r>
            <w:r>
              <w:rPr>
                <w:spacing w:val="-3"/>
              </w:rPr>
              <w:t>数及容积</w:t>
            </w:r>
          </w:p>
        </w:tc>
        <w:tc>
          <w:tcPr>
            <w:tcW w:w="949" w:type="dxa"/>
          </w:tcPr>
          <w:p>
            <w:pPr>
              <w:pStyle w:val="243"/>
              <w:spacing w:before="149" w:line="219" w:lineRule="auto"/>
              <w:ind w:left="111"/>
            </w:pPr>
            <w:r>
              <w:rPr>
                <w:spacing w:val="-2"/>
              </w:rPr>
              <w:t>低位水池</w:t>
            </w:r>
          </w:p>
        </w:tc>
        <w:tc>
          <w:tcPr>
            <w:tcW w:w="1700" w:type="dxa"/>
            <w:gridSpan w:val="3"/>
          </w:tcPr>
          <w:p>
            <w:pPr>
              <w:pStyle w:val="243"/>
              <w:spacing w:before="149" w:line="219" w:lineRule="auto"/>
              <w:ind w:left="112"/>
            </w:pPr>
            <w:r>
              <w:rPr>
                <w:spacing w:val="-3"/>
              </w:rPr>
              <w:t>个数：</w:t>
            </w:r>
          </w:p>
        </w:tc>
        <w:tc>
          <w:tcPr>
            <w:tcW w:w="3689" w:type="dxa"/>
            <w:gridSpan w:val="2"/>
          </w:tcPr>
          <w:p>
            <w:pPr>
              <w:pStyle w:val="243"/>
              <w:spacing w:before="149" w:line="220" w:lineRule="auto"/>
              <w:ind w:left="115"/>
            </w:pPr>
            <w:r>
              <w:rPr>
                <w:spacing w:val="-4"/>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949" w:type="dxa"/>
          </w:tcPr>
          <w:p>
            <w:pPr>
              <w:pStyle w:val="243"/>
              <w:spacing w:before="148" w:line="219" w:lineRule="auto"/>
              <w:ind w:left="117"/>
            </w:pPr>
            <w:r>
              <w:rPr>
                <w:spacing w:val="-3"/>
              </w:rPr>
              <w:t>高位水箱</w:t>
            </w:r>
          </w:p>
        </w:tc>
        <w:tc>
          <w:tcPr>
            <w:tcW w:w="1700" w:type="dxa"/>
            <w:gridSpan w:val="3"/>
          </w:tcPr>
          <w:p>
            <w:pPr>
              <w:pStyle w:val="243"/>
              <w:spacing w:before="148" w:line="219" w:lineRule="auto"/>
              <w:ind w:left="112"/>
            </w:pPr>
            <w:r>
              <w:rPr>
                <w:spacing w:val="-3"/>
              </w:rPr>
              <w:t>个数：</w:t>
            </w:r>
          </w:p>
        </w:tc>
        <w:tc>
          <w:tcPr>
            <w:tcW w:w="3689" w:type="dxa"/>
            <w:gridSpan w:val="2"/>
          </w:tcPr>
          <w:p>
            <w:pPr>
              <w:pStyle w:val="243"/>
              <w:spacing w:before="148" w:line="220" w:lineRule="auto"/>
              <w:ind w:left="115"/>
            </w:pPr>
            <w:r>
              <w:rPr>
                <w:spacing w:val="-4"/>
              </w:rPr>
              <w:t>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line="218" w:lineRule="auto"/>
              <w:jc w:val="center"/>
              <w:rPr>
                <w:lang w:eastAsia="zh-CN"/>
              </w:rPr>
            </w:pPr>
            <w:r>
              <w:rPr>
                <w:rFonts w:hint="eastAsia"/>
                <w:lang w:eastAsia="zh-CN"/>
              </w:rPr>
              <w:t>生活水池壁面材料</w:t>
            </w:r>
          </w:p>
        </w:tc>
        <w:tc>
          <w:tcPr>
            <w:tcW w:w="6338" w:type="dxa"/>
            <w:gridSpan w:val="6"/>
          </w:tcPr>
          <w:p>
            <w:pPr>
              <w:pStyle w:val="243"/>
              <w:spacing w:before="148" w:line="219" w:lineRule="auto"/>
              <w:ind w:left="111"/>
              <w:rPr>
                <w:lang w:eastAsia="zh-CN"/>
              </w:rPr>
            </w:pPr>
            <w:r>
              <w:rPr>
                <w:spacing w:val="-1"/>
                <w:lang w:eastAsia="zh-CN"/>
              </w:rPr>
              <w:t>低位水池：</w:t>
            </w:r>
            <w:r>
              <w:rPr>
                <w:rFonts w:hint="eastAsia" w:cs="Times New Roman"/>
                <w:spacing w:val="-1"/>
                <w:lang w:eastAsia="zh-CN"/>
              </w:rPr>
              <w:t>□</w:t>
            </w:r>
            <w:r>
              <w:rPr>
                <w:spacing w:val="-1"/>
                <w:lang w:eastAsia="zh-CN"/>
              </w:rPr>
              <w:t xml:space="preserve">瓷砖 </w:t>
            </w:r>
            <w:r>
              <w:rPr>
                <w:rFonts w:hint="eastAsia" w:cs="Times New Roman"/>
                <w:spacing w:val="-1"/>
                <w:lang w:eastAsia="zh-CN"/>
              </w:rPr>
              <w:t>□</w:t>
            </w:r>
            <w:r>
              <w:rPr>
                <w:spacing w:val="-1"/>
                <w:lang w:eastAsia="zh-CN"/>
              </w:rPr>
              <w:t xml:space="preserve">涂料 </w:t>
            </w:r>
            <w:r>
              <w:rPr>
                <w:rFonts w:hint="eastAsia" w:cs="Times New Roman"/>
                <w:spacing w:val="-1"/>
                <w:lang w:eastAsia="zh-CN"/>
              </w:rPr>
              <w:t>□</w:t>
            </w:r>
            <w:r>
              <w:rPr>
                <w:spacing w:val="-1"/>
                <w:lang w:eastAsia="zh-CN"/>
              </w:rPr>
              <w:t xml:space="preserve">不锈钢内衬 </w:t>
            </w:r>
            <w:r>
              <w:rPr>
                <w:rFonts w:hint="eastAsia" w:cs="Times New Roman"/>
                <w:spacing w:val="-1"/>
                <w:lang w:eastAsia="zh-CN"/>
              </w:rPr>
              <w:t>□</w:t>
            </w:r>
            <w:r>
              <w:rPr>
                <w:spacing w:val="-1"/>
                <w:lang w:eastAsia="zh-CN"/>
              </w:rPr>
              <w:t>水泥</w:t>
            </w:r>
            <w:r>
              <w:rPr>
                <w:spacing w:val="20"/>
                <w:lang w:eastAsia="zh-CN"/>
              </w:rPr>
              <w:t xml:space="preserve"> </w:t>
            </w:r>
            <w:r>
              <w:rPr>
                <w:rFonts w:hint="eastAsia" w:cs="Times New Roman"/>
                <w:spacing w:val="-1"/>
                <w:lang w:eastAsia="zh-CN"/>
              </w:rPr>
              <w:t>□</w:t>
            </w:r>
            <w:r>
              <w:rPr>
                <w:spacing w:val="-1"/>
                <w:lang w:eastAsia="zh-CN"/>
              </w:rPr>
              <w:t>不锈钢水箱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6338" w:type="dxa"/>
            <w:gridSpan w:val="6"/>
          </w:tcPr>
          <w:p>
            <w:pPr>
              <w:pStyle w:val="243"/>
              <w:spacing w:before="148" w:line="219" w:lineRule="auto"/>
              <w:ind w:left="117"/>
              <w:rPr>
                <w:lang w:eastAsia="zh-CN"/>
              </w:rPr>
            </w:pPr>
            <w:r>
              <w:rPr>
                <w:spacing w:val="-2"/>
                <w:lang w:eastAsia="zh-CN"/>
              </w:rPr>
              <w:t xml:space="preserve">高位水箱 </w:t>
            </w:r>
            <w:r>
              <w:rPr>
                <w:rFonts w:cs="Times New Roman"/>
                <w:spacing w:val="-2"/>
                <w:lang w:eastAsia="zh-CN"/>
              </w:rPr>
              <w:t>:</w:t>
            </w:r>
            <w:r>
              <w:rPr>
                <w:rFonts w:hint="eastAsia" w:cs="Times New Roman"/>
                <w:spacing w:val="-2"/>
                <w:lang w:eastAsia="zh-CN"/>
              </w:rPr>
              <w:t>□</w:t>
            </w:r>
            <w:r>
              <w:rPr>
                <w:spacing w:val="-2"/>
                <w:lang w:eastAsia="zh-CN"/>
              </w:rPr>
              <w:t xml:space="preserve">瓷砖 </w:t>
            </w:r>
            <w:r>
              <w:rPr>
                <w:rFonts w:hint="eastAsia" w:cs="Times New Roman"/>
                <w:spacing w:val="-2"/>
                <w:lang w:eastAsia="zh-CN"/>
              </w:rPr>
              <w:t>□</w:t>
            </w:r>
            <w:r>
              <w:rPr>
                <w:spacing w:val="-2"/>
                <w:lang w:eastAsia="zh-CN"/>
              </w:rPr>
              <w:t>涂料</w:t>
            </w:r>
            <w:r>
              <w:rPr>
                <w:spacing w:val="15"/>
                <w:lang w:eastAsia="zh-CN"/>
              </w:rPr>
              <w:t xml:space="preserve"> </w:t>
            </w:r>
            <w:r>
              <w:rPr>
                <w:rFonts w:hint="eastAsia" w:cs="Times New Roman"/>
                <w:spacing w:val="-2"/>
                <w:lang w:eastAsia="zh-CN"/>
              </w:rPr>
              <w:t>□</w:t>
            </w:r>
            <w:r>
              <w:rPr>
                <w:spacing w:val="-2"/>
                <w:lang w:eastAsia="zh-CN"/>
              </w:rPr>
              <w:t>不锈钢内衬</w:t>
            </w:r>
            <w:r>
              <w:rPr>
                <w:spacing w:val="12"/>
                <w:lang w:eastAsia="zh-CN"/>
              </w:rPr>
              <w:t xml:space="preserve"> </w:t>
            </w:r>
            <w:r>
              <w:rPr>
                <w:rFonts w:hint="eastAsia" w:cs="Times New Roman"/>
                <w:spacing w:val="-2"/>
                <w:lang w:eastAsia="zh-CN"/>
              </w:rPr>
              <w:t>□</w:t>
            </w:r>
            <w:r>
              <w:rPr>
                <w:spacing w:val="-2"/>
                <w:lang w:eastAsia="zh-CN"/>
              </w:rPr>
              <w:t>水泥</w:t>
            </w:r>
            <w:r>
              <w:rPr>
                <w:spacing w:val="14"/>
                <w:lang w:eastAsia="zh-CN"/>
              </w:rPr>
              <w:t xml:space="preserve"> </w:t>
            </w:r>
            <w:r>
              <w:rPr>
                <w:rFonts w:hint="eastAsia" w:cs="Times New Roman"/>
                <w:spacing w:val="-2"/>
                <w:lang w:eastAsia="zh-CN"/>
              </w:rPr>
              <w:t>□</w:t>
            </w:r>
            <w:r>
              <w:rPr>
                <w:spacing w:val="-2"/>
                <w:lang w:eastAsia="zh-CN"/>
              </w:rPr>
              <w:t>不锈钢水箱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1249" w:type="dxa"/>
            <w:vMerge w:val="restart"/>
            <w:vAlign w:val="center"/>
          </w:tcPr>
          <w:p>
            <w:pPr>
              <w:pStyle w:val="243"/>
              <w:spacing w:before="58" w:line="219" w:lineRule="auto"/>
              <w:jc w:val="center"/>
              <w:rPr>
                <w:lang w:eastAsia="zh-CN"/>
              </w:rPr>
            </w:pPr>
            <w:r>
              <w:rPr>
                <w:rFonts w:hint="eastAsia"/>
                <w:spacing w:val="-2"/>
                <w:lang w:eastAsia="zh-CN"/>
              </w:rPr>
              <w:t>水池（箱）</w:t>
            </w:r>
          </w:p>
        </w:tc>
        <w:tc>
          <w:tcPr>
            <w:tcW w:w="1778" w:type="dxa"/>
            <w:vMerge w:val="restart"/>
            <w:vAlign w:val="center"/>
          </w:tcPr>
          <w:p>
            <w:pPr>
              <w:pStyle w:val="243"/>
              <w:spacing w:before="152" w:line="468" w:lineRule="exact"/>
              <w:jc w:val="center"/>
              <w:rPr>
                <w:lang w:eastAsia="zh-CN"/>
              </w:rPr>
            </w:pPr>
            <w:r>
              <w:rPr>
                <w:rFonts w:hint="eastAsia"/>
                <w:lang w:eastAsia="zh-CN"/>
              </w:rPr>
              <w:t>消防水池个数及容积</w:t>
            </w:r>
          </w:p>
        </w:tc>
        <w:tc>
          <w:tcPr>
            <w:tcW w:w="6338" w:type="dxa"/>
            <w:gridSpan w:val="6"/>
          </w:tcPr>
          <w:p>
            <w:pPr>
              <w:pStyle w:val="243"/>
              <w:spacing w:before="147" w:line="219" w:lineRule="auto"/>
              <w:ind w:left="111"/>
              <w:rPr>
                <w:lang w:eastAsia="zh-CN"/>
              </w:rPr>
            </w:pPr>
            <w:r>
              <w:rPr>
                <w:spacing w:val="-1"/>
                <w:lang w:eastAsia="zh-CN"/>
              </w:rPr>
              <w:t>低位水池个数：容积：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6338" w:type="dxa"/>
            <w:gridSpan w:val="6"/>
          </w:tcPr>
          <w:p>
            <w:pPr>
              <w:pStyle w:val="243"/>
              <w:spacing w:before="150" w:line="219" w:lineRule="auto"/>
              <w:ind w:left="117"/>
              <w:rPr>
                <w:lang w:eastAsia="zh-CN"/>
              </w:rPr>
            </w:pPr>
            <w:r>
              <w:rPr>
                <w:spacing w:val="-2"/>
                <w:lang w:eastAsia="zh-CN"/>
              </w:rPr>
              <w:t>高位水箱个数：容积：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468" w:lineRule="exact"/>
              <w:jc w:val="center"/>
              <w:rPr>
                <w:lang w:eastAsia="zh-CN"/>
              </w:rPr>
            </w:pPr>
            <w:r>
              <w:rPr>
                <w:rFonts w:hint="eastAsia"/>
                <w:lang w:eastAsia="zh-CN"/>
              </w:rPr>
              <w:t>二次消毒装置</w:t>
            </w:r>
          </w:p>
        </w:tc>
        <w:tc>
          <w:tcPr>
            <w:tcW w:w="6338" w:type="dxa"/>
            <w:gridSpan w:val="6"/>
          </w:tcPr>
          <w:p>
            <w:pPr>
              <w:pStyle w:val="243"/>
              <w:spacing w:before="150" w:line="219" w:lineRule="auto"/>
              <w:ind w:left="116"/>
              <w:rPr>
                <w:lang w:eastAsia="zh-CN"/>
              </w:rPr>
            </w:pPr>
            <w:r>
              <w:rPr>
                <w:spacing w:val="-1"/>
                <w:lang w:eastAsia="zh-CN"/>
              </w:rPr>
              <w:t>安装位置：</w:t>
            </w:r>
            <w:r>
              <w:rPr>
                <w:rFonts w:hint="eastAsia" w:cs="Times New Roman"/>
                <w:spacing w:val="-1"/>
                <w:lang w:eastAsia="zh-CN"/>
              </w:rPr>
              <w:t>□</w:t>
            </w:r>
            <w:r>
              <w:rPr>
                <w:spacing w:val="-1"/>
                <w:lang w:eastAsia="zh-CN"/>
              </w:rPr>
              <w:t>低位水池</w:t>
            </w:r>
            <w:r>
              <w:rPr>
                <w:rFonts w:hint="eastAsia" w:cs="Times New Roman"/>
                <w:spacing w:val="-1"/>
                <w:lang w:eastAsia="zh-CN"/>
              </w:rPr>
              <w:t>□</w:t>
            </w:r>
            <w:r>
              <w:rPr>
                <w:spacing w:val="-1"/>
                <w:lang w:eastAsia="zh-CN"/>
              </w:rPr>
              <w:t>高位水箱</w:t>
            </w:r>
            <w:r>
              <w:rPr>
                <w:rFonts w:hint="eastAsia" w:cs="Times New Roman"/>
                <w:spacing w:val="-1"/>
                <w:lang w:eastAsia="zh-CN"/>
              </w:rPr>
              <w:t>□</w:t>
            </w:r>
            <w:r>
              <w:rPr>
                <w:spacing w:val="-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6"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6338" w:type="dxa"/>
            <w:gridSpan w:val="6"/>
          </w:tcPr>
          <w:p>
            <w:pPr>
              <w:pStyle w:val="243"/>
              <w:spacing w:before="149" w:line="219" w:lineRule="auto"/>
              <w:ind w:left="112"/>
            </w:pPr>
            <w:r>
              <w:rPr>
                <w:spacing w:val="-3"/>
              </w:rPr>
              <w:t>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6338" w:type="dxa"/>
            <w:gridSpan w:val="6"/>
          </w:tcPr>
          <w:p>
            <w:pPr>
              <w:pStyle w:val="243"/>
              <w:spacing w:before="148" w:line="221" w:lineRule="auto"/>
              <w:ind w:left="118"/>
            </w:pPr>
            <w:r>
              <w:rPr>
                <w:spacing w:val="-5"/>
              </w:rPr>
              <w:t>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4"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219" w:lineRule="auto"/>
              <w:jc w:val="center"/>
            </w:pPr>
            <w:r>
              <w:rPr>
                <w:spacing w:val="-2"/>
              </w:rPr>
              <w:t>进水管</w:t>
            </w:r>
          </w:p>
        </w:tc>
        <w:tc>
          <w:tcPr>
            <w:tcW w:w="1626" w:type="dxa"/>
            <w:gridSpan w:val="2"/>
          </w:tcPr>
          <w:p>
            <w:pPr>
              <w:pStyle w:val="243"/>
              <w:spacing w:before="149" w:line="219" w:lineRule="auto"/>
              <w:ind w:left="111"/>
            </w:pPr>
            <w:r>
              <w:rPr>
                <w:spacing w:val="-2"/>
              </w:rPr>
              <w:t>低位水池：</w:t>
            </w:r>
          </w:p>
        </w:tc>
        <w:tc>
          <w:tcPr>
            <w:tcW w:w="2160" w:type="dxa"/>
            <w:gridSpan w:val="3"/>
          </w:tcPr>
          <w:p>
            <w:pPr>
              <w:pStyle w:val="243"/>
              <w:spacing w:before="149"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3"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626" w:type="dxa"/>
            <w:gridSpan w:val="2"/>
          </w:tcPr>
          <w:p>
            <w:pPr>
              <w:pStyle w:val="243"/>
              <w:spacing w:before="148" w:line="219" w:lineRule="auto"/>
              <w:ind w:left="117"/>
            </w:pPr>
            <w:r>
              <w:rPr>
                <w:spacing w:val="-3"/>
              </w:rPr>
              <w:t>高位水箱：</w:t>
            </w:r>
          </w:p>
        </w:tc>
        <w:tc>
          <w:tcPr>
            <w:tcW w:w="2160" w:type="dxa"/>
            <w:gridSpan w:val="3"/>
          </w:tcPr>
          <w:p>
            <w:pPr>
              <w:pStyle w:val="243"/>
              <w:spacing w:before="148"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8"/>
              </w:rPr>
              <w:t>出水管</w:t>
            </w:r>
          </w:p>
        </w:tc>
        <w:tc>
          <w:tcPr>
            <w:tcW w:w="1626" w:type="dxa"/>
            <w:gridSpan w:val="2"/>
          </w:tcPr>
          <w:p>
            <w:pPr>
              <w:pStyle w:val="243"/>
              <w:spacing w:before="148" w:line="219" w:lineRule="auto"/>
              <w:ind w:left="111"/>
            </w:pPr>
            <w:r>
              <w:rPr>
                <w:spacing w:val="-2"/>
              </w:rPr>
              <w:t>低位水池：</w:t>
            </w:r>
          </w:p>
        </w:tc>
        <w:tc>
          <w:tcPr>
            <w:tcW w:w="2160" w:type="dxa"/>
            <w:gridSpan w:val="3"/>
          </w:tcPr>
          <w:p>
            <w:pPr>
              <w:pStyle w:val="243"/>
              <w:spacing w:before="148" w:line="219" w:lineRule="auto"/>
              <w:ind w:left="116"/>
            </w:pPr>
            <w:r>
              <w:rPr>
                <w:spacing w:val="-4"/>
              </w:rPr>
              <w:t>管径：</w:t>
            </w:r>
          </w:p>
        </w:tc>
        <w:tc>
          <w:tcPr>
            <w:tcW w:w="2552" w:type="dxa"/>
          </w:tcPr>
          <w:p>
            <w:pPr>
              <w:pStyle w:val="243"/>
              <w:spacing w:before="148"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626" w:type="dxa"/>
            <w:gridSpan w:val="2"/>
          </w:tcPr>
          <w:p>
            <w:pPr>
              <w:pStyle w:val="243"/>
              <w:spacing w:before="146" w:line="219" w:lineRule="auto"/>
              <w:ind w:left="117"/>
            </w:pPr>
            <w:r>
              <w:rPr>
                <w:spacing w:val="-3"/>
              </w:rPr>
              <w:t>高位水箱：</w:t>
            </w:r>
          </w:p>
        </w:tc>
        <w:tc>
          <w:tcPr>
            <w:tcW w:w="216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4"/>
              </w:rPr>
              <w:t>泄水管</w:t>
            </w:r>
          </w:p>
        </w:tc>
        <w:tc>
          <w:tcPr>
            <w:tcW w:w="1626" w:type="dxa"/>
            <w:gridSpan w:val="2"/>
          </w:tcPr>
          <w:p>
            <w:pPr>
              <w:pStyle w:val="243"/>
              <w:spacing w:before="147" w:line="219" w:lineRule="auto"/>
              <w:ind w:left="111"/>
            </w:pPr>
            <w:r>
              <w:rPr>
                <w:spacing w:val="-2"/>
              </w:rPr>
              <w:t>低位水池：</w:t>
            </w:r>
          </w:p>
        </w:tc>
        <w:tc>
          <w:tcPr>
            <w:tcW w:w="2160" w:type="dxa"/>
            <w:gridSpan w:val="3"/>
          </w:tcPr>
          <w:p>
            <w:pPr>
              <w:pStyle w:val="243"/>
              <w:spacing w:before="147"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626" w:type="dxa"/>
            <w:gridSpan w:val="2"/>
          </w:tcPr>
          <w:p>
            <w:pPr>
              <w:pStyle w:val="243"/>
              <w:spacing w:before="146" w:line="219" w:lineRule="auto"/>
              <w:ind w:left="117"/>
            </w:pPr>
            <w:r>
              <w:rPr>
                <w:spacing w:val="-3"/>
              </w:rPr>
              <w:t>高位水箱：</w:t>
            </w:r>
          </w:p>
        </w:tc>
        <w:tc>
          <w:tcPr>
            <w:tcW w:w="216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9" w:line="219" w:lineRule="auto"/>
              <w:jc w:val="center"/>
            </w:pPr>
            <w:r>
              <w:rPr>
                <w:spacing w:val="-3"/>
              </w:rPr>
              <w:t>溢流管</w:t>
            </w:r>
          </w:p>
        </w:tc>
        <w:tc>
          <w:tcPr>
            <w:tcW w:w="1626" w:type="dxa"/>
            <w:gridSpan w:val="2"/>
          </w:tcPr>
          <w:p>
            <w:pPr>
              <w:pStyle w:val="243"/>
              <w:spacing w:before="146" w:line="219" w:lineRule="auto"/>
              <w:ind w:left="111"/>
            </w:pPr>
            <w:r>
              <w:rPr>
                <w:spacing w:val="-2"/>
              </w:rPr>
              <w:t>低位水池：</w:t>
            </w:r>
          </w:p>
        </w:tc>
        <w:tc>
          <w:tcPr>
            <w:tcW w:w="2160" w:type="dxa"/>
            <w:gridSpan w:val="3"/>
          </w:tcPr>
          <w:p>
            <w:pPr>
              <w:pStyle w:val="243"/>
              <w:spacing w:before="146" w:line="219" w:lineRule="auto"/>
              <w:ind w:left="116"/>
            </w:pPr>
            <w:r>
              <w:rPr>
                <w:spacing w:val="-4"/>
              </w:rPr>
              <w:t>管径：</w:t>
            </w:r>
          </w:p>
        </w:tc>
        <w:tc>
          <w:tcPr>
            <w:tcW w:w="2552" w:type="dxa"/>
          </w:tcPr>
          <w:p>
            <w:pPr>
              <w:pStyle w:val="243"/>
              <w:spacing w:before="145"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626" w:type="dxa"/>
            <w:gridSpan w:val="2"/>
          </w:tcPr>
          <w:p>
            <w:pPr>
              <w:pStyle w:val="243"/>
              <w:spacing w:before="146" w:line="219" w:lineRule="auto"/>
              <w:ind w:left="117"/>
            </w:pPr>
            <w:r>
              <w:rPr>
                <w:spacing w:val="-3"/>
              </w:rPr>
              <w:t>高位水箱：</w:t>
            </w:r>
          </w:p>
        </w:tc>
        <w:tc>
          <w:tcPr>
            <w:tcW w:w="2160" w:type="dxa"/>
            <w:gridSpan w:val="3"/>
          </w:tcPr>
          <w:p>
            <w:pPr>
              <w:pStyle w:val="243"/>
              <w:spacing w:before="145" w:line="219" w:lineRule="auto"/>
              <w:ind w:left="116"/>
            </w:pPr>
            <w:r>
              <w:rPr>
                <w:spacing w:val="-4"/>
              </w:rPr>
              <w:t>管材：</w:t>
            </w:r>
          </w:p>
        </w:tc>
        <w:tc>
          <w:tcPr>
            <w:tcW w:w="2552" w:type="dxa"/>
          </w:tcPr>
          <w:p>
            <w:pPr>
              <w:pStyle w:val="243"/>
              <w:spacing w:before="145"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49" w:type="dxa"/>
            <w:vMerge w:val="continue"/>
            <w:vAlign w:val="center"/>
          </w:tcPr>
          <w:p>
            <w:pPr>
              <w:rPr>
                <w:rFonts w:ascii="宋体" w:hAnsi="宋体"/>
                <w:sz w:val="18"/>
                <w:szCs w:val="18"/>
              </w:rPr>
            </w:pPr>
          </w:p>
        </w:tc>
        <w:tc>
          <w:tcPr>
            <w:tcW w:w="1778" w:type="dxa"/>
            <w:vMerge w:val="restart"/>
            <w:vAlign w:val="center"/>
          </w:tcPr>
          <w:p>
            <w:pPr>
              <w:pStyle w:val="243"/>
              <w:spacing w:before="58" w:line="219" w:lineRule="auto"/>
              <w:jc w:val="center"/>
            </w:pPr>
            <w:r>
              <w:rPr>
                <w:spacing w:val="-3"/>
              </w:rPr>
              <w:t>通气管</w:t>
            </w:r>
          </w:p>
        </w:tc>
        <w:tc>
          <w:tcPr>
            <w:tcW w:w="1626" w:type="dxa"/>
            <w:gridSpan w:val="2"/>
          </w:tcPr>
          <w:p>
            <w:pPr>
              <w:pStyle w:val="243"/>
              <w:spacing w:before="146" w:line="219" w:lineRule="auto"/>
              <w:ind w:left="111"/>
            </w:pPr>
            <w:r>
              <w:rPr>
                <w:spacing w:val="-2"/>
              </w:rPr>
              <w:t>低位水池：</w:t>
            </w:r>
          </w:p>
        </w:tc>
        <w:tc>
          <w:tcPr>
            <w:tcW w:w="2160" w:type="dxa"/>
            <w:gridSpan w:val="3"/>
          </w:tcPr>
          <w:p>
            <w:pPr>
              <w:pStyle w:val="243"/>
              <w:spacing w:before="146" w:line="219" w:lineRule="auto"/>
              <w:ind w:left="116"/>
            </w:pPr>
            <w:r>
              <w:rPr>
                <w:spacing w:val="-4"/>
              </w:rPr>
              <w:t>管径：</w:t>
            </w:r>
          </w:p>
        </w:tc>
        <w:tc>
          <w:tcPr>
            <w:tcW w:w="2552" w:type="dxa"/>
          </w:tcPr>
          <w:p>
            <w:pPr>
              <w:pStyle w:val="243"/>
              <w:spacing w:before="146"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trPr>
        <w:tc>
          <w:tcPr>
            <w:tcW w:w="1249" w:type="dxa"/>
            <w:vMerge w:val="continue"/>
            <w:vAlign w:val="center"/>
          </w:tcPr>
          <w:p>
            <w:pPr>
              <w:rPr>
                <w:rFonts w:ascii="宋体" w:hAnsi="宋体"/>
                <w:sz w:val="18"/>
                <w:szCs w:val="18"/>
              </w:rPr>
            </w:pPr>
          </w:p>
        </w:tc>
        <w:tc>
          <w:tcPr>
            <w:tcW w:w="1778" w:type="dxa"/>
            <w:vMerge w:val="continue"/>
            <w:vAlign w:val="center"/>
          </w:tcPr>
          <w:p>
            <w:pPr>
              <w:jc w:val="center"/>
              <w:rPr>
                <w:rFonts w:ascii="宋体" w:hAnsi="宋体"/>
                <w:sz w:val="18"/>
                <w:szCs w:val="18"/>
              </w:rPr>
            </w:pPr>
          </w:p>
        </w:tc>
        <w:tc>
          <w:tcPr>
            <w:tcW w:w="1626" w:type="dxa"/>
            <w:gridSpan w:val="2"/>
          </w:tcPr>
          <w:p>
            <w:pPr>
              <w:pStyle w:val="243"/>
              <w:spacing w:before="149" w:line="219" w:lineRule="auto"/>
              <w:ind w:left="117"/>
            </w:pPr>
            <w:r>
              <w:rPr>
                <w:spacing w:val="-3"/>
              </w:rPr>
              <w:t>高位水箱：</w:t>
            </w:r>
          </w:p>
        </w:tc>
        <w:tc>
          <w:tcPr>
            <w:tcW w:w="2160" w:type="dxa"/>
            <w:gridSpan w:val="3"/>
          </w:tcPr>
          <w:p>
            <w:pPr>
              <w:pStyle w:val="243"/>
              <w:spacing w:before="149" w:line="219" w:lineRule="auto"/>
              <w:ind w:left="116"/>
            </w:pPr>
            <w:r>
              <w:rPr>
                <w:spacing w:val="-4"/>
              </w:rPr>
              <w:t>管径：</w:t>
            </w:r>
          </w:p>
        </w:tc>
        <w:tc>
          <w:tcPr>
            <w:tcW w:w="2552" w:type="dxa"/>
          </w:tcPr>
          <w:p>
            <w:pPr>
              <w:pStyle w:val="243"/>
              <w:spacing w:before="149" w:line="219" w:lineRule="auto"/>
              <w:ind w:left="117"/>
            </w:pPr>
            <w:r>
              <w:rPr>
                <w:spacing w:val="-4"/>
              </w:rPr>
              <w:t>管材：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jc w:val="center"/>
              <w:rPr>
                <w:rFonts w:ascii="宋体" w:hAnsi="宋体"/>
                <w:sz w:val="18"/>
                <w:szCs w:val="18"/>
              </w:rPr>
            </w:pPr>
            <w:r>
              <w:rPr>
                <w:rFonts w:hint="eastAsia" w:ascii="宋体" w:hAnsi="宋体"/>
                <w:spacing w:val="-2"/>
                <w:sz w:val="18"/>
                <w:szCs w:val="18"/>
              </w:rPr>
              <w:t>水池（箱）</w:t>
            </w:r>
          </w:p>
        </w:tc>
        <w:tc>
          <w:tcPr>
            <w:tcW w:w="1778" w:type="dxa"/>
            <w:vMerge w:val="restart"/>
            <w:vAlign w:val="center"/>
          </w:tcPr>
          <w:p>
            <w:pPr>
              <w:pStyle w:val="243"/>
              <w:spacing w:before="211" w:line="221" w:lineRule="auto"/>
              <w:jc w:val="center"/>
            </w:pPr>
            <w:r>
              <w:rPr>
                <w:spacing w:val="-5"/>
              </w:rPr>
              <w:t>人孔</w:t>
            </w:r>
          </w:p>
        </w:tc>
        <w:tc>
          <w:tcPr>
            <w:tcW w:w="1626" w:type="dxa"/>
            <w:gridSpan w:val="2"/>
          </w:tcPr>
          <w:p>
            <w:pPr>
              <w:pStyle w:val="243"/>
              <w:spacing w:before="31" w:line="219" w:lineRule="auto"/>
              <w:ind w:left="111"/>
            </w:pPr>
            <w:r>
              <w:rPr>
                <w:spacing w:val="-2"/>
              </w:rPr>
              <w:t>低位水池</w:t>
            </w:r>
          </w:p>
        </w:tc>
        <w:tc>
          <w:tcPr>
            <w:tcW w:w="2160" w:type="dxa"/>
            <w:gridSpan w:val="3"/>
          </w:tcPr>
          <w:p>
            <w:pPr>
              <w:pStyle w:val="243"/>
              <w:spacing w:before="31" w:line="219" w:lineRule="auto"/>
              <w:ind w:left="115"/>
              <w:rPr>
                <w:lang w:eastAsia="zh-CN"/>
              </w:rPr>
            </w:pPr>
            <w:r>
              <w:rPr>
                <w:spacing w:val="-2"/>
                <w:lang w:eastAsia="zh-CN"/>
              </w:rPr>
              <w:t xml:space="preserve">是否加盖、带锁 </w:t>
            </w:r>
            <w:r>
              <w:rPr>
                <w:rFonts w:hint="eastAsia" w:cs="Times New Roman"/>
                <w:spacing w:val="-2"/>
                <w:lang w:eastAsia="zh-CN"/>
              </w:rPr>
              <w:t>□</w:t>
            </w:r>
            <w:r>
              <w:rPr>
                <w:spacing w:val="-2"/>
                <w:lang w:eastAsia="zh-CN"/>
              </w:rPr>
              <w:t>是</w:t>
            </w:r>
            <w:r>
              <w:rPr>
                <w:spacing w:val="12"/>
                <w:lang w:eastAsia="zh-CN"/>
              </w:rPr>
              <w:t xml:space="preserve"> </w:t>
            </w:r>
            <w:r>
              <w:rPr>
                <w:rFonts w:hint="eastAsia" w:cs="Times New Roman"/>
                <w:spacing w:val="-2"/>
                <w:lang w:eastAsia="zh-CN"/>
              </w:rPr>
              <w:t>□</w:t>
            </w:r>
            <w:r>
              <w:rPr>
                <w:spacing w:val="-2"/>
                <w:lang w:eastAsia="zh-CN"/>
              </w:rPr>
              <w:t>否</w:t>
            </w:r>
          </w:p>
        </w:tc>
        <w:tc>
          <w:tcPr>
            <w:tcW w:w="2552" w:type="dxa"/>
          </w:tcPr>
          <w:p>
            <w:pPr>
              <w:pStyle w:val="243"/>
              <w:spacing w:before="31" w:line="219" w:lineRule="auto"/>
              <w:ind w:left="113"/>
            </w:pPr>
            <w:r>
              <w:rPr>
                <w:spacing w:val="-3"/>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rPr>
                <w:rFonts w:ascii="宋体" w:hAnsi="宋体"/>
                <w:sz w:val="18"/>
                <w:szCs w:val="18"/>
              </w:rPr>
            </w:pPr>
          </w:p>
        </w:tc>
        <w:tc>
          <w:tcPr>
            <w:tcW w:w="1778" w:type="dxa"/>
            <w:vMerge w:val="continue"/>
          </w:tcPr>
          <w:p>
            <w:pPr>
              <w:rPr>
                <w:rFonts w:ascii="宋体" w:hAnsi="宋体"/>
                <w:sz w:val="18"/>
                <w:szCs w:val="18"/>
              </w:rPr>
            </w:pPr>
          </w:p>
        </w:tc>
        <w:tc>
          <w:tcPr>
            <w:tcW w:w="1626" w:type="dxa"/>
            <w:gridSpan w:val="2"/>
          </w:tcPr>
          <w:p>
            <w:pPr>
              <w:pStyle w:val="243"/>
              <w:spacing w:before="31" w:line="219" w:lineRule="auto"/>
              <w:ind w:left="117"/>
            </w:pPr>
            <w:r>
              <w:rPr>
                <w:spacing w:val="-3"/>
              </w:rPr>
              <w:t>高位水箱</w:t>
            </w:r>
          </w:p>
        </w:tc>
        <w:tc>
          <w:tcPr>
            <w:tcW w:w="2160" w:type="dxa"/>
            <w:gridSpan w:val="3"/>
          </w:tcPr>
          <w:p>
            <w:pPr>
              <w:pStyle w:val="243"/>
              <w:spacing w:before="31" w:line="219" w:lineRule="auto"/>
              <w:ind w:left="115"/>
              <w:rPr>
                <w:lang w:eastAsia="zh-CN"/>
              </w:rPr>
            </w:pPr>
            <w:r>
              <w:rPr>
                <w:spacing w:val="-2"/>
                <w:lang w:eastAsia="zh-CN"/>
              </w:rPr>
              <w:t xml:space="preserve">是否加盖、带锁 </w:t>
            </w:r>
            <w:r>
              <w:rPr>
                <w:rFonts w:hint="eastAsia" w:cs="Times New Roman"/>
                <w:spacing w:val="-2"/>
                <w:lang w:eastAsia="zh-CN"/>
              </w:rPr>
              <w:t>□</w:t>
            </w:r>
            <w:r>
              <w:rPr>
                <w:spacing w:val="-2"/>
                <w:lang w:eastAsia="zh-CN"/>
              </w:rPr>
              <w:t>是</w:t>
            </w:r>
            <w:r>
              <w:rPr>
                <w:spacing w:val="12"/>
                <w:lang w:eastAsia="zh-CN"/>
              </w:rPr>
              <w:t xml:space="preserve"> </w:t>
            </w:r>
            <w:r>
              <w:rPr>
                <w:rFonts w:hint="eastAsia" w:cs="Times New Roman"/>
                <w:spacing w:val="-2"/>
                <w:lang w:eastAsia="zh-CN"/>
              </w:rPr>
              <w:t>□</w:t>
            </w:r>
            <w:r>
              <w:rPr>
                <w:spacing w:val="-2"/>
                <w:lang w:eastAsia="zh-CN"/>
              </w:rPr>
              <w:t>否</w:t>
            </w:r>
          </w:p>
        </w:tc>
        <w:tc>
          <w:tcPr>
            <w:tcW w:w="2552" w:type="dxa"/>
          </w:tcPr>
          <w:p>
            <w:pPr>
              <w:pStyle w:val="243"/>
              <w:spacing w:before="31" w:line="219" w:lineRule="auto"/>
              <w:ind w:left="113"/>
            </w:pPr>
            <w:r>
              <w:rPr>
                <w:spacing w:val="-3"/>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pPr>
            <w:r>
              <w:rPr>
                <w:spacing w:val="-3"/>
              </w:rPr>
              <w:t>生活水泵</w:t>
            </w:r>
          </w:p>
        </w:tc>
        <w:tc>
          <w:tcPr>
            <w:tcW w:w="1778" w:type="dxa"/>
          </w:tcPr>
          <w:p>
            <w:pPr>
              <w:pStyle w:val="243"/>
              <w:spacing w:before="148" w:line="210"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626" w:type="dxa"/>
            <w:gridSpan w:val="2"/>
          </w:tcPr>
          <w:p>
            <w:pPr>
              <w:pStyle w:val="243"/>
              <w:spacing w:before="148" w:line="210" w:lineRule="auto"/>
              <w:ind w:left="351"/>
              <w:rPr>
                <w:rFonts w:cs="Times New Roman"/>
              </w:rPr>
            </w:pPr>
            <w:r>
              <w:rPr>
                <w:spacing w:val="-2"/>
              </w:rPr>
              <w:t>扬程</w:t>
            </w:r>
            <w:r>
              <w:rPr>
                <w:rFonts w:cs="Times New Roman"/>
                <w:spacing w:val="-2"/>
              </w:rPr>
              <w:t>(m)</w:t>
            </w:r>
          </w:p>
        </w:tc>
        <w:tc>
          <w:tcPr>
            <w:tcW w:w="2160" w:type="dxa"/>
            <w:gridSpan w:val="3"/>
          </w:tcPr>
          <w:p>
            <w:pPr>
              <w:pStyle w:val="243"/>
              <w:spacing w:before="148" w:line="210" w:lineRule="auto"/>
              <w:ind w:left="449"/>
              <w:rPr>
                <w:rFonts w:cs="Times New Roman"/>
              </w:rPr>
            </w:pPr>
            <w:r>
              <w:rPr>
                <w:spacing w:val="-2"/>
              </w:rPr>
              <w:t>功率</w:t>
            </w:r>
            <w:r>
              <w:rPr>
                <w:rFonts w:cs="Times New Roman"/>
                <w:spacing w:val="-2"/>
              </w:rPr>
              <w:t>(KW)</w:t>
            </w:r>
          </w:p>
        </w:tc>
        <w:tc>
          <w:tcPr>
            <w:tcW w:w="2552" w:type="dxa"/>
          </w:tcPr>
          <w:p>
            <w:pPr>
              <w:pStyle w:val="243"/>
              <w:spacing w:before="148" w:line="210"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pStyle w:val="243"/>
              <w:spacing w:before="59" w:line="219" w:lineRule="auto"/>
              <w:jc w:val="center"/>
            </w:pPr>
            <w:r>
              <w:rPr>
                <w:spacing w:val="-2"/>
              </w:rPr>
              <w:t>室内消防泵</w:t>
            </w:r>
          </w:p>
        </w:tc>
        <w:tc>
          <w:tcPr>
            <w:tcW w:w="1778" w:type="dxa"/>
          </w:tcPr>
          <w:p>
            <w:pPr>
              <w:pStyle w:val="243"/>
              <w:spacing w:before="147" w:line="212"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626" w:type="dxa"/>
            <w:gridSpan w:val="2"/>
          </w:tcPr>
          <w:p>
            <w:pPr>
              <w:pStyle w:val="243"/>
              <w:spacing w:before="147" w:line="212" w:lineRule="auto"/>
              <w:ind w:left="351"/>
              <w:rPr>
                <w:rFonts w:cs="Times New Roman"/>
              </w:rPr>
            </w:pPr>
            <w:r>
              <w:rPr>
                <w:spacing w:val="-2"/>
              </w:rPr>
              <w:t>扬程</w:t>
            </w:r>
            <w:r>
              <w:rPr>
                <w:rFonts w:cs="Times New Roman"/>
                <w:spacing w:val="-2"/>
              </w:rPr>
              <w:t>(m)</w:t>
            </w:r>
          </w:p>
        </w:tc>
        <w:tc>
          <w:tcPr>
            <w:tcW w:w="2160" w:type="dxa"/>
            <w:gridSpan w:val="3"/>
          </w:tcPr>
          <w:p>
            <w:pPr>
              <w:pStyle w:val="243"/>
              <w:spacing w:before="147" w:line="212" w:lineRule="auto"/>
              <w:ind w:left="449"/>
              <w:rPr>
                <w:rFonts w:cs="Times New Roman"/>
              </w:rPr>
            </w:pPr>
            <w:r>
              <w:rPr>
                <w:spacing w:val="-2"/>
              </w:rPr>
              <w:t>功率</w:t>
            </w:r>
            <w:r>
              <w:rPr>
                <w:rFonts w:cs="Times New Roman"/>
                <w:spacing w:val="-2"/>
              </w:rPr>
              <w:t>(KW)</w:t>
            </w:r>
          </w:p>
        </w:tc>
        <w:tc>
          <w:tcPr>
            <w:tcW w:w="2552" w:type="dxa"/>
            <w:vAlign w:val="center"/>
          </w:tcPr>
          <w:p>
            <w:pPr>
              <w:pStyle w:val="243"/>
              <w:spacing w:before="147" w:line="212"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8" w:lineRule="auto"/>
              <w:jc w:val="center"/>
            </w:pPr>
            <w:r>
              <w:rPr>
                <w:spacing w:val="-5"/>
              </w:rPr>
              <w:t>喷淋泵</w:t>
            </w:r>
          </w:p>
        </w:tc>
        <w:tc>
          <w:tcPr>
            <w:tcW w:w="1778" w:type="dxa"/>
          </w:tcPr>
          <w:p>
            <w:pPr>
              <w:pStyle w:val="243"/>
              <w:spacing w:before="148" w:line="212" w:lineRule="auto"/>
              <w:ind w:left="232"/>
              <w:rPr>
                <w:rFonts w:cs="Times New Roman"/>
              </w:rPr>
            </w:pPr>
            <w:r>
              <w:rPr>
                <w:spacing w:val="-1"/>
              </w:rPr>
              <w:t>流量</w:t>
            </w:r>
            <w:r>
              <w:rPr>
                <w:rFonts w:cs="Times New Roman"/>
                <w:spacing w:val="-1"/>
              </w:rPr>
              <w:t>(m</w:t>
            </w:r>
            <w:r>
              <w:rPr>
                <w:rFonts w:cs="Times New Roman"/>
                <w:spacing w:val="-1"/>
                <w:position w:val="5"/>
              </w:rPr>
              <w:t>3</w:t>
            </w:r>
            <w:r>
              <w:rPr>
                <w:rFonts w:cs="Times New Roman"/>
                <w:spacing w:val="-1"/>
              </w:rPr>
              <w:t>/h)</w:t>
            </w:r>
          </w:p>
        </w:tc>
        <w:tc>
          <w:tcPr>
            <w:tcW w:w="1626" w:type="dxa"/>
            <w:gridSpan w:val="2"/>
          </w:tcPr>
          <w:p>
            <w:pPr>
              <w:pStyle w:val="243"/>
              <w:spacing w:before="148" w:line="212" w:lineRule="auto"/>
              <w:ind w:left="351"/>
              <w:rPr>
                <w:rFonts w:cs="Times New Roman"/>
              </w:rPr>
            </w:pPr>
            <w:r>
              <w:rPr>
                <w:spacing w:val="-2"/>
              </w:rPr>
              <w:t>扬程</w:t>
            </w:r>
            <w:r>
              <w:rPr>
                <w:rFonts w:cs="Times New Roman"/>
                <w:spacing w:val="-2"/>
              </w:rPr>
              <w:t>(m)</w:t>
            </w:r>
          </w:p>
        </w:tc>
        <w:tc>
          <w:tcPr>
            <w:tcW w:w="2160" w:type="dxa"/>
            <w:gridSpan w:val="3"/>
          </w:tcPr>
          <w:p>
            <w:pPr>
              <w:pStyle w:val="243"/>
              <w:spacing w:before="148" w:line="212" w:lineRule="auto"/>
              <w:ind w:left="449"/>
              <w:rPr>
                <w:rFonts w:cs="Times New Roman"/>
              </w:rPr>
            </w:pPr>
            <w:r>
              <w:rPr>
                <w:spacing w:val="-2"/>
              </w:rPr>
              <w:t>功率</w:t>
            </w:r>
            <w:r>
              <w:rPr>
                <w:rFonts w:cs="Times New Roman"/>
                <w:spacing w:val="-2"/>
              </w:rPr>
              <w:t>(KW)</w:t>
            </w:r>
          </w:p>
        </w:tc>
        <w:tc>
          <w:tcPr>
            <w:tcW w:w="2552" w:type="dxa"/>
            <w:vAlign w:val="center"/>
          </w:tcPr>
          <w:p>
            <w:pPr>
              <w:pStyle w:val="243"/>
              <w:spacing w:before="148" w:line="212" w:lineRule="auto"/>
              <w:jc w:val="center"/>
              <w:rPr>
                <w:rFonts w:cs="Times New Roman"/>
              </w:rPr>
            </w:pPr>
            <w:r>
              <w:rPr>
                <w:spacing w:val="-2"/>
              </w:rPr>
              <w:t>数量</w:t>
            </w:r>
            <w:r>
              <w:rPr>
                <w:rFonts w:cs="Times New Roman"/>
                <w:spacing w:val="-2"/>
              </w:rPr>
              <w:t>(</w:t>
            </w:r>
            <w:r>
              <w:rPr>
                <w:spacing w:val="-2"/>
              </w:rPr>
              <w:t>备用情况</w:t>
            </w:r>
            <w:r>
              <w:rPr>
                <w:rFonts w:cs="Times New Roman"/>
                <w:spacing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 w:hRule="atLeast"/>
        </w:trPr>
        <w:tc>
          <w:tcPr>
            <w:tcW w:w="1249" w:type="dxa"/>
            <w:vMerge w:val="continue"/>
            <w:vAlign w:val="center"/>
          </w:tcPr>
          <w:p>
            <w:pPr>
              <w:jc w:val="center"/>
              <w:rPr>
                <w:rFonts w:ascii="宋体" w:hAnsi="宋体"/>
                <w:sz w:val="18"/>
                <w:szCs w:val="18"/>
              </w:rPr>
            </w:pPr>
          </w:p>
        </w:tc>
        <w:tc>
          <w:tcPr>
            <w:tcW w:w="1778" w:type="dxa"/>
          </w:tcPr>
          <w:p>
            <w:pPr>
              <w:rPr>
                <w:rFonts w:ascii="宋体" w:hAnsi="宋体"/>
                <w:sz w:val="18"/>
                <w:szCs w:val="18"/>
              </w:rPr>
            </w:pP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Align w:val="center"/>
          </w:tcPr>
          <w:p>
            <w:pPr>
              <w:pStyle w:val="243"/>
              <w:spacing w:before="150" w:line="219" w:lineRule="auto"/>
              <w:jc w:val="center"/>
            </w:pPr>
            <w:r>
              <w:rPr>
                <w:spacing w:val="-3"/>
              </w:rPr>
              <w:t>管道及阀门</w:t>
            </w:r>
          </w:p>
        </w:tc>
        <w:tc>
          <w:tcPr>
            <w:tcW w:w="1778" w:type="dxa"/>
          </w:tcPr>
          <w:p>
            <w:pPr>
              <w:pStyle w:val="243"/>
              <w:spacing w:before="149" w:line="219" w:lineRule="auto"/>
              <w:ind w:left="113"/>
              <w:rPr>
                <w:lang w:eastAsia="zh-CN"/>
              </w:rPr>
            </w:pPr>
            <w:r>
              <w:rPr>
                <w:spacing w:val="-2"/>
                <w:lang w:eastAsia="zh-CN"/>
              </w:rPr>
              <w:t>管道材质：阀门材质：</w:t>
            </w:r>
          </w:p>
        </w:tc>
        <w:tc>
          <w:tcPr>
            <w:tcW w:w="1626" w:type="dxa"/>
            <w:gridSpan w:val="2"/>
          </w:tcPr>
          <w:p>
            <w:pPr>
              <w:pStyle w:val="243"/>
              <w:spacing w:before="31" w:line="219" w:lineRule="auto"/>
              <w:ind w:left="117"/>
              <w:rPr>
                <w:spacing w:val="-3"/>
                <w:lang w:eastAsia="zh-CN"/>
              </w:rPr>
            </w:pPr>
          </w:p>
        </w:tc>
        <w:tc>
          <w:tcPr>
            <w:tcW w:w="2160" w:type="dxa"/>
            <w:gridSpan w:val="3"/>
          </w:tcPr>
          <w:p>
            <w:pPr>
              <w:pStyle w:val="243"/>
              <w:spacing w:before="31" w:line="219" w:lineRule="auto"/>
              <w:ind w:left="115"/>
              <w:rPr>
                <w:spacing w:val="-2"/>
                <w:lang w:eastAsia="zh-CN"/>
              </w:rPr>
            </w:pPr>
          </w:p>
        </w:tc>
        <w:tc>
          <w:tcPr>
            <w:tcW w:w="2552" w:type="dxa"/>
          </w:tcPr>
          <w:p>
            <w:pPr>
              <w:pStyle w:val="243"/>
              <w:spacing w:before="31" w:line="219" w:lineRule="auto"/>
              <w:ind w:left="113"/>
              <w:rPr>
                <w:spacing w:val="-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restart"/>
            <w:vAlign w:val="center"/>
          </w:tcPr>
          <w:p>
            <w:pPr>
              <w:pStyle w:val="243"/>
              <w:spacing w:before="58" w:line="219" w:lineRule="auto"/>
              <w:jc w:val="center"/>
            </w:pPr>
            <w:r>
              <w:rPr>
                <w:spacing w:val="-4"/>
              </w:rPr>
              <w:t>泵房</w:t>
            </w:r>
          </w:p>
        </w:tc>
        <w:tc>
          <w:tcPr>
            <w:tcW w:w="1778" w:type="dxa"/>
          </w:tcPr>
          <w:p>
            <w:pPr>
              <w:pStyle w:val="243"/>
              <w:spacing w:before="149" w:line="219" w:lineRule="auto"/>
              <w:ind w:left="109"/>
              <w:rPr>
                <w:lang w:eastAsia="zh-CN"/>
              </w:rPr>
            </w:pPr>
            <w:r>
              <w:rPr>
                <w:spacing w:val="-1"/>
                <w:lang w:eastAsia="zh-CN"/>
              </w:rPr>
              <w:t>装饰装修材料：地面：墙面：</w:t>
            </w:r>
          </w:p>
        </w:tc>
        <w:tc>
          <w:tcPr>
            <w:tcW w:w="1626" w:type="dxa"/>
            <w:gridSpan w:val="2"/>
          </w:tcPr>
          <w:p>
            <w:pPr>
              <w:pStyle w:val="243"/>
              <w:spacing w:before="31" w:line="219" w:lineRule="auto"/>
              <w:ind w:left="117"/>
              <w:rPr>
                <w:spacing w:val="-3"/>
                <w:lang w:eastAsia="zh-CN"/>
              </w:rPr>
            </w:pPr>
          </w:p>
        </w:tc>
        <w:tc>
          <w:tcPr>
            <w:tcW w:w="2160" w:type="dxa"/>
            <w:gridSpan w:val="3"/>
          </w:tcPr>
          <w:p>
            <w:pPr>
              <w:pStyle w:val="243"/>
              <w:spacing w:before="31" w:line="219" w:lineRule="auto"/>
              <w:ind w:left="115"/>
              <w:rPr>
                <w:spacing w:val="-2"/>
                <w:lang w:eastAsia="zh-CN"/>
              </w:rPr>
            </w:pPr>
          </w:p>
        </w:tc>
        <w:tc>
          <w:tcPr>
            <w:tcW w:w="2552" w:type="dxa"/>
          </w:tcPr>
          <w:p>
            <w:pPr>
              <w:pStyle w:val="243"/>
              <w:spacing w:before="31" w:line="219" w:lineRule="auto"/>
              <w:ind w:left="113"/>
              <w:rPr>
                <w:spacing w:val="-3"/>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19" w:lineRule="auto"/>
              <w:ind w:left="120"/>
            </w:pPr>
            <w:r>
              <w:rPr>
                <w:spacing w:val="-4"/>
              </w:rPr>
              <w:t>隔音材料：</w:t>
            </w:r>
          </w:p>
        </w:tc>
        <w:tc>
          <w:tcPr>
            <w:tcW w:w="1626" w:type="dxa"/>
            <w:gridSpan w:val="2"/>
          </w:tcPr>
          <w:p>
            <w:pPr>
              <w:rPr>
                <w:rFonts w:ascii="宋体" w:hAnsi="宋体"/>
                <w:sz w:val="18"/>
                <w:szCs w:val="18"/>
              </w:rPr>
            </w:pPr>
          </w:p>
        </w:tc>
        <w:tc>
          <w:tcPr>
            <w:tcW w:w="2160" w:type="dxa"/>
            <w:gridSpan w:val="3"/>
          </w:tcPr>
          <w:p>
            <w:pPr>
              <w:rPr>
                <w:rFonts w:ascii="宋体" w:hAnsi="宋体"/>
                <w:sz w:val="18"/>
                <w:szCs w:val="18"/>
              </w:rPr>
            </w:pPr>
          </w:p>
        </w:tc>
        <w:tc>
          <w:tcPr>
            <w:tcW w:w="2552" w:type="dxa"/>
          </w:tcPr>
          <w:p>
            <w:pPr>
              <w:pStyle w:val="243"/>
              <w:spacing w:before="31" w:line="219" w:lineRule="auto"/>
              <w:ind w:left="113"/>
              <w:rPr>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20" w:lineRule="auto"/>
              <w:ind w:left="112"/>
              <w:rPr>
                <w:lang w:eastAsia="zh-CN"/>
              </w:rPr>
            </w:pPr>
            <w:r>
              <w:rPr>
                <w:spacing w:val="-1"/>
                <w:lang w:eastAsia="zh-CN"/>
              </w:rPr>
              <w:t>是否安装视频安防系统：</w:t>
            </w:r>
          </w:p>
        </w:tc>
        <w:tc>
          <w:tcPr>
            <w:tcW w:w="1626" w:type="dxa"/>
            <w:gridSpan w:val="2"/>
          </w:tcPr>
          <w:p>
            <w:pPr>
              <w:pStyle w:val="243"/>
              <w:spacing w:before="148" w:line="220" w:lineRule="auto"/>
              <w:ind w:left="118"/>
            </w:pPr>
            <w:r>
              <w:rPr>
                <w:rFonts w:hint="eastAsia" w:cs="Times New Roman"/>
                <w:spacing w:val="-4"/>
                <w:lang w:eastAsia="zh-CN"/>
              </w:rPr>
              <w:t>□</w:t>
            </w:r>
            <w:r>
              <w:rPr>
                <w:spacing w:val="-4"/>
              </w:rPr>
              <w:t>是</w:t>
            </w:r>
            <w:r>
              <w:rPr>
                <w:rFonts w:hint="eastAsia" w:cs="Times New Roman"/>
                <w:spacing w:val="-4"/>
                <w:lang w:eastAsia="zh-CN"/>
              </w:rPr>
              <w:t>□</w:t>
            </w:r>
            <w:r>
              <w:rPr>
                <w:spacing w:val="-4"/>
              </w:rPr>
              <w:t>否</w:t>
            </w:r>
          </w:p>
        </w:tc>
        <w:tc>
          <w:tcPr>
            <w:tcW w:w="2160" w:type="dxa"/>
            <w:gridSpan w:val="3"/>
          </w:tcPr>
          <w:p>
            <w:pPr>
              <w:pStyle w:val="243"/>
              <w:spacing w:before="31" w:line="219" w:lineRule="auto"/>
              <w:ind w:left="115"/>
              <w:rPr>
                <w:spacing w:val="-2"/>
              </w:rPr>
            </w:pPr>
          </w:p>
        </w:tc>
        <w:tc>
          <w:tcPr>
            <w:tcW w:w="2552" w:type="dxa"/>
          </w:tcPr>
          <w:p>
            <w:pPr>
              <w:pStyle w:val="243"/>
              <w:spacing w:before="31" w:line="219" w:lineRule="auto"/>
              <w:ind w:left="113"/>
              <w:rPr>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rPr>
        <w:tc>
          <w:tcPr>
            <w:tcW w:w="1249" w:type="dxa"/>
            <w:vMerge w:val="continue"/>
          </w:tcPr>
          <w:p>
            <w:pPr>
              <w:rPr>
                <w:rFonts w:ascii="宋体" w:hAnsi="宋体"/>
                <w:sz w:val="18"/>
                <w:szCs w:val="18"/>
              </w:rPr>
            </w:pPr>
          </w:p>
        </w:tc>
        <w:tc>
          <w:tcPr>
            <w:tcW w:w="1778" w:type="dxa"/>
          </w:tcPr>
          <w:p>
            <w:pPr>
              <w:pStyle w:val="243"/>
              <w:spacing w:before="148" w:line="219" w:lineRule="auto"/>
              <w:ind w:left="112"/>
              <w:rPr>
                <w:lang w:eastAsia="zh-CN"/>
              </w:rPr>
            </w:pPr>
            <w:r>
              <w:rPr>
                <w:spacing w:val="-1"/>
                <w:lang w:eastAsia="zh-CN"/>
              </w:rPr>
              <w:t>是否安装水质在线监测系统</w:t>
            </w:r>
          </w:p>
        </w:tc>
        <w:tc>
          <w:tcPr>
            <w:tcW w:w="1626" w:type="dxa"/>
            <w:gridSpan w:val="2"/>
          </w:tcPr>
          <w:p>
            <w:pPr>
              <w:pStyle w:val="243"/>
              <w:spacing w:before="148" w:line="220" w:lineRule="auto"/>
              <w:ind w:left="118"/>
            </w:pPr>
            <w:r>
              <w:rPr>
                <w:rFonts w:hint="eastAsia" w:cs="Times New Roman"/>
                <w:spacing w:val="-4"/>
                <w:lang w:eastAsia="zh-CN"/>
              </w:rPr>
              <w:t>□</w:t>
            </w:r>
            <w:r>
              <w:rPr>
                <w:spacing w:val="-4"/>
              </w:rPr>
              <w:t>是</w:t>
            </w:r>
            <w:r>
              <w:rPr>
                <w:rFonts w:hint="eastAsia" w:cs="Times New Roman"/>
                <w:spacing w:val="-4"/>
                <w:lang w:eastAsia="zh-CN"/>
              </w:rPr>
              <w:t>□</w:t>
            </w:r>
            <w:r>
              <w:rPr>
                <w:spacing w:val="-4"/>
              </w:rPr>
              <w:t>否</w:t>
            </w:r>
          </w:p>
        </w:tc>
        <w:tc>
          <w:tcPr>
            <w:tcW w:w="2160" w:type="dxa"/>
            <w:gridSpan w:val="3"/>
          </w:tcPr>
          <w:p>
            <w:pPr>
              <w:pStyle w:val="243"/>
              <w:spacing w:before="31" w:line="219" w:lineRule="auto"/>
              <w:ind w:left="115"/>
              <w:rPr>
                <w:spacing w:val="-2"/>
              </w:rPr>
            </w:pPr>
          </w:p>
        </w:tc>
        <w:tc>
          <w:tcPr>
            <w:tcW w:w="2552" w:type="dxa"/>
          </w:tcPr>
          <w:p>
            <w:pPr>
              <w:pStyle w:val="243"/>
              <w:spacing w:before="31" w:line="219" w:lineRule="auto"/>
              <w:ind w:left="113"/>
              <w:rPr>
                <w:spacing w:val="-3"/>
              </w:rPr>
            </w:pP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198"/>
        <w:rPr>
          <w:vanish w:val="0"/>
        </w:rPr>
      </w:pPr>
    </w:p>
    <w:p>
      <w:pPr>
        <w:pStyle w:val="199"/>
        <w:rPr>
          <w:vanish w:val="0"/>
        </w:rPr>
      </w:pPr>
    </w:p>
    <w:p>
      <w:pPr>
        <w:pStyle w:val="76"/>
        <w:spacing w:after="158"/>
      </w:pPr>
      <w:r>
        <w:br w:type="textWrapping"/>
      </w:r>
      <w:bookmarkStart w:id="106" w:name="_Toc148526845"/>
      <w:r>
        <w:rPr>
          <w:rFonts w:hint="eastAsia"/>
        </w:rPr>
        <w:t>（资料性）</w:t>
      </w:r>
      <w:r>
        <w:br w:type="textWrapping"/>
      </w:r>
      <w:r>
        <w:rPr>
          <w:rFonts w:hint="eastAsia"/>
        </w:rPr>
        <w:t>二次供水设施提标改造移交验收记录表</w:t>
      </w:r>
      <w:bookmarkEnd w:id="106"/>
    </w:p>
    <w:p>
      <w:pPr>
        <w:pStyle w:val="77"/>
        <w:numPr>
          <w:ilvl w:val="0"/>
          <w:numId w:val="0"/>
        </w:numPr>
        <w:spacing w:before="158" w:after="158"/>
      </w:pPr>
      <w:r>
        <w:rPr>
          <w:rFonts w:hint="eastAsia"/>
        </w:rPr>
        <w:t>表</w:t>
      </w:r>
      <w:r>
        <w:t xml:space="preserve">D.1 </w:t>
      </w:r>
      <w:r>
        <w:rPr>
          <w:rFonts w:hint="eastAsia"/>
        </w:rPr>
        <w:t>二次供水设施提标改造移交验收记录表</w:t>
      </w:r>
    </w:p>
    <w:p>
      <w:pPr>
        <w:pStyle w:val="199"/>
      </w:pPr>
      <w:r>
        <w:t>填表时间：月日填表人：填表人电话：</w:t>
      </w:r>
    </w:p>
    <w:tbl>
      <w:tblPr>
        <w:tblStyle w:val="244"/>
        <w:tblW w:w="497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
        <w:gridCol w:w="1460"/>
        <w:gridCol w:w="249"/>
        <w:gridCol w:w="249"/>
        <w:gridCol w:w="369"/>
        <w:gridCol w:w="373"/>
        <w:gridCol w:w="794"/>
        <w:gridCol w:w="906"/>
        <w:gridCol w:w="777"/>
        <w:gridCol w:w="318"/>
        <w:gridCol w:w="438"/>
        <w:gridCol w:w="851"/>
        <w:gridCol w:w="1463"/>
        <w:gridCol w:w="1248"/>
        <w:gridCol w:w="363"/>
        <w:gridCol w:w="1289"/>
        <w:gridCol w:w="1124"/>
        <w:gridCol w:w="652"/>
        <w:gridCol w:w="727"/>
        <w:gridCol w:w="607"/>
        <w:gridCol w:w="326"/>
        <w:gridCol w:w="1095"/>
        <w:gridCol w:w="1116"/>
        <w:gridCol w:w="1071"/>
        <w:gridCol w:w="190"/>
        <w:gridCol w:w="58"/>
        <w:gridCol w:w="955"/>
        <w:gridCol w:w="11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569" w:type="pct"/>
            <w:gridSpan w:val="4"/>
          </w:tcPr>
          <w:p>
            <w:pPr>
              <w:pStyle w:val="243"/>
              <w:spacing w:before="148" w:line="221" w:lineRule="auto"/>
              <w:ind w:left="120"/>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小区名称</w:t>
            </w:r>
            <w:r>
              <w:rPr>
                <w:rFonts w:ascii="Times New Roman" w:hAnsi="Times New Roman" w:eastAsia="Times New Roman" w:cs="Times New Roman"/>
                <w:b/>
                <w:bCs/>
                <w:spacing w:val="-2"/>
              </w:rPr>
              <w:t>:</w:t>
            </w:r>
          </w:p>
        </w:tc>
        <w:tc>
          <w:tcPr>
            <w:tcW w:w="855" w:type="pct"/>
            <w:gridSpan w:val="6"/>
          </w:tcPr>
          <w:p>
            <w:pPr>
              <w:pStyle w:val="243"/>
              <w:spacing w:before="148" w:line="219" w:lineRule="auto"/>
              <w:ind w:left="111"/>
            </w:pPr>
            <w:r>
              <w:rPr>
                <w:spacing w:val="-2"/>
                <w14:textOutline w14:w="3263" w14:cap="sq" w14:cmpd="sng" w14:algn="ctr">
                  <w14:solidFill>
                    <w14:srgbClr w14:val="000000"/>
                  </w14:solidFill>
                  <w14:prstDash w14:val="solid"/>
                  <w14:bevel/>
                </w14:textOutline>
              </w:rPr>
              <w:t>泵房名称：</w:t>
            </w:r>
          </w:p>
        </w:tc>
        <w:tc>
          <w:tcPr>
            <w:tcW w:w="968" w:type="pct"/>
            <w:gridSpan w:val="4"/>
          </w:tcPr>
          <w:p>
            <w:pPr>
              <w:pStyle w:val="243"/>
              <w:spacing w:before="148" w:line="219" w:lineRule="auto"/>
              <w:ind w:left="113"/>
            </w:pPr>
            <w:r>
              <w:rPr>
                <w:spacing w:val="-1"/>
                <w14:textOutline w14:w="3263" w14:cap="sq" w14:cmpd="sng" w14:algn="ctr">
                  <w14:solidFill>
                    <w14:srgbClr w14:val="000000"/>
                  </w14:solidFill>
                  <w14:prstDash w14:val="solid"/>
                  <w14:bevel/>
                </w14:textOutline>
              </w:rPr>
              <w:t>所属街道：</w:t>
            </w:r>
          </w:p>
        </w:tc>
        <w:tc>
          <w:tcPr>
            <w:tcW w:w="1006" w:type="pct"/>
            <w:gridSpan w:val="5"/>
          </w:tcPr>
          <w:p>
            <w:pPr>
              <w:pStyle w:val="243"/>
              <w:spacing w:before="148" w:line="220" w:lineRule="auto"/>
              <w:ind w:left="111"/>
            </w:pPr>
            <w:r>
              <w:rPr>
                <w:spacing w:val="-1"/>
                <w14:textOutline w14:w="3263" w14:cap="sq" w14:cmpd="sng" w14:algn="ctr">
                  <w14:solidFill>
                    <w14:srgbClr w14:val="000000"/>
                  </w14:solidFill>
                  <w14:prstDash w14:val="solid"/>
                  <w14:bevel/>
                </w14:textOutline>
              </w:rPr>
              <w:t>物业单位：</w:t>
            </w:r>
          </w:p>
        </w:tc>
        <w:tc>
          <w:tcPr>
            <w:tcW w:w="226" w:type="pct"/>
            <w:gridSpan w:val="2"/>
          </w:tcPr>
          <w:p>
            <w:pPr>
              <w:pStyle w:val="243"/>
              <w:spacing w:before="148" w:line="221" w:lineRule="auto"/>
              <w:ind w:left="114"/>
            </w:pPr>
            <w:r>
              <w:rPr>
                <w:spacing w:val="-2"/>
                <w14:textOutline w14:w="3263" w14:cap="sq" w14:cmpd="sng" w14:algn="ctr">
                  <w14:solidFill>
                    <w14:srgbClr w14:val="000000"/>
                  </w14:solidFill>
                  <w14:prstDash w14:val="solid"/>
                  <w14:bevel/>
                </w14:textOutline>
              </w:rPr>
              <w:t>联系人：</w:t>
            </w:r>
          </w:p>
        </w:tc>
        <w:tc>
          <w:tcPr>
            <w:tcW w:w="264" w:type="pct"/>
          </w:tcPr>
          <w:p>
            <w:pPr>
              <w:rPr>
                <w:rFonts w:ascii="Arial"/>
              </w:rPr>
            </w:pPr>
          </w:p>
        </w:tc>
        <w:tc>
          <w:tcPr>
            <w:tcW w:w="269" w:type="pct"/>
          </w:tcPr>
          <w:p>
            <w:pPr>
              <w:pStyle w:val="243"/>
              <w:spacing w:before="148" w:line="221" w:lineRule="auto"/>
              <w:ind w:left="113"/>
            </w:pPr>
            <w:r>
              <w:rPr>
                <w:spacing w:val="-2"/>
                <w14:textOutline w14:w="3263" w14:cap="sq" w14:cmpd="sng" w14:algn="ctr">
                  <w14:solidFill>
                    <w14:srgbClr w14:val="000000"/>
                  </w14:solidFill>
                  <w14:prstDash w14:val="solid"/>
                  <w14:bevel/>
                </w14:textOutline>
              </w:rPr>
              <w:t>联系电话：</w:t>
            </w:r>
          </w:p>
        </w:tc>
        <w:tc>
          <w:tcPr>
            <w:tcW w:w="319" w:type="pct"/>
            <w:gridSpan w:val="3"/>
          </w:tcPr>
          <w:p>
            <w:pPr>
              <w:rPr>
                <w:rFonts w:ascii="Arial"/>
              </w:rPr>
            </w:pPr>
          </w:p>
        </w:tc>
        <w:tc>
          <w:tcPr>
            <w:tcW w:w="230" w:type="pct"/>
          </w:tcPr>
          <w:p>
            <w:pPr>
              <w:pStyle w:val="243"/>
              <w:spacing w:before="148" w:line="219" w:lineRule="auto"/>
              <w:ind w:left="119"/>
            </w:pPr>
            <w:r>
              <w:rPr>
                <w:spacing w:val="-3"/>
                <w14:textOutline w14:w="3263" w14:cap="sq" w14:cmpd="sng" w14:algn="ctr">
                  <w14:solidFill>
                    <w14:srgbClr w14:val="000000"/>
                  </w14:solidFill>
                  <w14:prstDash w14:val="solid"/>
                  <w14:bevel/>
                </w14:textOutline>
              </w:rPr>
              <w:t>改造时间</w:t>
            </w:r>
          </w:p>
        </w:tc>
        <w:tc>
          <w:tcPr>
            <w:tcW w:w="288" w:type="pct"/>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96" w:type="pct"/>
            <w:vMerge w:val="restart"/>
            <w:tcBorders>
              <w:bottom w:val="nil"/>
            </w:tcBorders>
            <w:textDirection w:val="tbRlV"/>
            <w:vAlign w:val="bottom"/>
          </w:tcPr>
          <w:p>
            <w:pPr>
              <w:pStyle w:val="243"/>
              <w:spacing w:before="134" w:line="209" w:lineRule="auto"/>
              <w:ind w:left="1833"/>
            </w:pPr>
            <w:r>
              <w:rPr>
                <w:spacing w:val="-1"/>
                <w14:textOutline w14:w="3263" w14:cap="sq" w14:cmpd="sng" w14:algn="ctr">
                  <w14:solidFill>
                    <w14:srgbClr w14:val="000000"/>
                  </w14:solidFill>
                  <w14:prstDash w14:val="solid"/>
                  <w14:bevel/>
                </w14:textOutline>
              </w:rPr>
              <w:t>泵</w:t>
            </w:r>
            <w:r>
              <w:rPr>
                <w:spacing w:val="7"/>
              </w:rPr>
              <w:t xml:space="preserve">   </w:t>
            </w:r>
            <w:r>
              <w:rPr>
                <w:spacing w:val="-1"/>
                <w14:textOutline w14:w="3263" w14:cap="sq" w14:cmpd="sng" w14:algn="ctr">
                  <w14:solidFill>
                    <w14:srgbClr w14:val="000000"/>
                  </w14:solidFill>
                  <w14:prstDash w14:val="solid"/>
                  <w14:bevel/>
                </w14:textOutline>
              </w:rPr>
              <w:t>站</w:t>
            </w:r>
            <w:r>
              <w:rPr>
                <w:spacing w:val="6"/>
              </w:rPr>
              <w:t xml:space="preserve">   </w:t>
            </w:r>
            <w:r>
              <w:rPr>
                <w:spacing w:val="-1"/>
                <w14:textOutline w14:w="3263" w14:cap="sq" w14:cmpd="sng" w14:algn="ctr">
                  <w14:solidFill>
                    <w14:srgbClr w14:val="000000"/>
                  </w14:solidFill>
                  <w14:prstDash w14:val="solid"/>
                  <w14:bevel/>
                </w14:textOutline>
              </w:rPr>
              <w:t>基</w:t>
            </w:r>
            <w:r>
              <w:rPr>
                <w:spacing w:val="6"/>
              </w:rPr>
              <w:t xml:space="preserve">   </w:t>
            </w:r>
            <w:r>
              <w:rPr>
                <w:spacing w:val="-1"/>
                <w14:textOutline w14:w="3263" w14:cap="sq" w14:cmpd="sng" w14:algn="ctr">
                  <w14:solidFill>
                    <w14:srgbClr w14:val="000000"/>
                  </w14:solidFill>
                  <w14:prstDash w14:val="solid"/>
                  <w14:bevel/>
                </w14:textOutline>
              </w:rPr>
              <w:t>础</w:t>
            </w:r>
            <w:r>
              <w:rPr>
                <w:spacing w:val="6"/>
              </w:rPr>
              <w:t xml:space="preserve">   </w:t>
            </w:r>
            <w:r>
              <w:rPr>
                <w:spacing w:val="-1"/>
                <w14:textOutline w14:w="3263" w14:cap="sq" w14:cmpd="sng" w14:algn="ctr">
                  <w14:solidFill>
                    <w14:srgbClr w14:val="000000"/>
                  </w14:solidFill>
                  <w14:prstDash w14:val="solid"/>
                  <w14:bevel/>
                </w14:textOutline>
              </w:rPr>
              <w:t>资</w:t>
            </w:r>
            <w:r>
              <w:rPr>
                <w:spacing w:val="6"/>
              </w:rPr>
              <w:t xml:space="preserve">   </w:t>
            </w:r>
            <w:r>
              <w:rPr>
                <w:spacing w:val="-1"/>
                <w14:textOutline w14:w="3263" w14:cap="sq" w14:cmpd="sng" w14:algn="ctr">
                  <w14:solidFill>
                    <w14:srgbClr w14:val="000000"/>
                  </w14:solidFill>
                  <w14:prstDash w14:val="solid"/>
                  <w14:bevel/>
                </w14:textOutline>
              </w:rPr>
              <w:t>料</w:t>
            </w:r>
          </w:p>
        </w:tc>
        <w:tc>
          <w:tcPr>
            <w:tcW w:w="1640" w:type="pct"/>
            <w:gridSpan w:val="11"/>
          </w:tcPr>
          <w:p>
            <w:pPr>
              <w:pStyle w:val="243"/>
              <w:spacing w:before="146" w:line="219" w:lineRule="auto"/>
              <w:ind w:left="113"/>
              <w:rPr>
                <w:lang w:eastAsia="zh-CN"/>
              </w:rPr>
            </w:pPr>
            <w:r>
              <w:rPr>
                <w:spacing w:val="-1"/>
                <w:lang w:eastAsia="zh-CN"/>
              </w:rPr>
              <w:t>小区市政路进水，分别是由路与路进水</w:t>
            </w:r>
          </w:p>
        </w:tc>
        <w:tc>
          <w:tcPr>
            <w:tcW w:w="744" w:type="pct"/>
            <w:gridSpan w:val="3"/>
          </w:tcPr>
          <w:p>
            <w:pPr>
              <w:pStyle w:val="243"/>
              <w:spacing w:before="146" w:line="219" w:lineRule="auto"/>
              <w:ind w:left="839"/>
            </w:pPr>
            <w:r>
              <w:rPr>
                <w:spacing w:val="-2"/>
                <w14:textOutline w14:w="3263" w14:cap="sq" w14:cmpd="sng" w14:algn="ctr">
                  <w14:solidFill>
                    <w14:srgbClr w14:val="000000"/>
                  </w14:solidFill>
                  <w14:prstDash w14:val="solid"/>
                  <w14:bevel/>
                </w14:textOutline>
              </w:rPr>
              <w:t>小区总层数</w:t>
            </w:r>
          </w:p>
        </w:tc>
        <w:tc>
          <w:tcPr>
            <w:tcW w:w="1679" w:type="pct"/>
            <w:gridSpan w:val="8"/>
          </w:tcPr>
          <w:p>
            <w:pPr>
              <w:pStyle w:val="243"/>
              <w:spacing w:before="146" w:line="219" w:lineRule="auto"/>
              <w:ind w:left="112"/>
            </w:pPr>
            <w:r>
              <w:rPr>
                <w:spacing w:val="-3"/>
              </w:rPr>
              <w:t>共栋层</w:t>
            </w:r>
          </w:p>
        </w:tc>
        <w:tc>
          <w:tcPr>
            <w:tcW w:w="839" w:type="pct"/>
            <w:gridSpan w:val="5"/>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restart"/>
            <w:tcBorders>
              <w:bottom w:val="nil"/>
            </w:tcBorders>
            <w:vAlign w:val="center"/>
          </w:tcPr>
          <w:p>
            <w:pPr>
              <w:pStyle w:val="243"/>
              <w:spacing w:before="59" w:line="219" w:lineRule="auto"/>
              <w:jc w:val="center"/>
            </w:pPr>
            <w:r>
              <w:rPr>
                <w:spacing w:val="-1"/>
                <w14:textOutline w14:w="3263" w14:cap="sq" w14:cmpd="sng" w14:algn="ctr">
                  <w14:solidFill>
                    <w14:srgbClr w14:val="000000"/>
                  </w14:solidFill>
                  <w14:prstDash w14:val="solid"/>
                  <w14:bevel/>
                </w14:textOutline>
              </w:rPr>
              <w:t>泵房供水方式</w:t>
            </w:r>
          </w:p>
        </w:tc>
        <w:tc>
          <w:tcPr>
            <w:tcW w:w="431" w:type="pct"/>
            <w:gridSpan w:val="4"/>
            <w:vAlign w:val="center"/>
          </w:tcPr>
          <w:p>
            <w:pPr>
              <w:pStyle w:val="243"/>
              <w:spacing w:before="147" w:line="219" w:lineRule="auto"/>
            </w:pPr>
            <w:r>
              <w:rPr>
                <w:rFonts w:hint="eastAsia" w:ascii="Times New Roman" w:hAnsi="Times New Roman" w:cs="Times New Roman"/>
                <w:spacing w:val="-2"/>
                <w:lang w:eastAsia="zh-CN"/>
              </w:rPr>
              <w:t>□</w:t>
            </w:r>
            <w:r>
              <w:rPr>
                <w:spacing w:val="-2"/>
              </w:rPr>
              <w:t>低位水池</w:t>
            </w:r>
            <w:r>
              <w:rPr>
                <w:rFonts w:ascii="Times New Roman" w:hAnsi="Times New Roman" w:eastAsia="Times New Roman" w:cs="Times New Roman"/>
                <w:spacing w:val="-2"/>
              </w:rPr>
              <w:t>+</w:t>
            </w:r>
            <w:r>
              <w:rPr>
                <w:spacing w:val="-2"/>
              </w:rPr>
              <w:t>常规变频</w:t>
            </w:r>
          </w:p>
        </w:tc>
        <w:tc>
          <w:tcPr>
            <w:tcW w:w="218" w:type="pct"/>
            <w:vMerge w:val="restart"/>
            <w:tcBorders>
              <w:bottom w:val="nil"/>
            </w:tcBorders>
            <w:vAlign w:val="center"/>
          </w:tcPr>
          <w:p>
            <w:pPr>
              <w:pStyle w:val="243"/>
              <w:spacing w:before="58" w:line="468" w:lineRule="exact"/>
              <w:jc w:val="center"/>
            </w:pPr>
            <w:r>
              <w:rPr>
                <w:spacing w:val="-5"/>
                <w:position w:val="22"/>
                <w14:textOutline w14:w="3263" w14:cap="sq" w14:cmpd="sng" w14:algn="ctr">
                  <w14:solidFill>
                    <w14:srgbClr w14:val="000000"/>
                  </w14:solidFill>
                  <w14:prstDash w14:val="solid"/>
                  <w14:bevel/>
                </w14:textOutline>
              </w:rPr>
              <w:t>生活</w:t>
            </w:r>
          </w:p>
          <w:p>
            <w:pPr>
              <w:pStyle w:val="243"/>
              <w:spacing w:line="220" w:lineRule="auto"/>
              <w:jc w:val="center"/>
            </w:pPr>
            <w:r>
              <w:rPr>
                <w:spacing w:val="-6"/>
                <w14:textOutline w14:w="3263" w14:cap="sq" w14:cmpd="sng" w14:algn="ctr">
                  <w14:solidFill>
                    <w14:srgbClr w14:val="000000"/>
                  </w14:solidFill>
                  <w14:prstDash w14:val="solid"/>
                  <w14:bevel/>
                </w14:textOutline>
              </w:rPr>
              <w:t>消防</w:t>
            </w:r>
          </w:p>
          <w:p>
            <w:pPr>
              <w:pStyle w:val="243"/>
              <w:spacing w:before="253" w:line="219" w:lineRule="auto"/>
              <w:jc w:val="center"/>
            </w:pPr>
            <w:r>
              <w:rPr>
                <w:spacing w:val="-4"/>
                <w14:textOutline w14:w="3263" w14:cap="sq" w14:cmpd="sng" w14:algn="ctr">
                  <w14:solidFill>
                    <w14:srgbClr w14:val="000000"/>
                  </w14:solidFill>
                  <w14:prstDash w14:val="solid"/>
                  <w14:bevel/>
                </w14:textOutline>
              </w:rPr>
              <w:t>共用</w:t>
            </w:r>
          </w:p>
          <w:p>
            <w:pPr>
              <w:pStyle w:val="243"/>
              <w:spacing w:before="254" w:line="220" w:lineRule="auto"/>
              <w:jc w:val="center"/>
            </w:pPr>
            <w:r>
              <w:rPr>
                <w:spacing w:val="-4"/>
                <w14:textOutline w14:w="3263" w14:cap="sq" w14:cmpd="sng" w14:algn="ctr">
                  <w14:solidFill>
                    <w14:srgbClr w14:val="000000"/>
                  </w14:solidFill>
                  <w14:prstDash w14:val="solid"/>
                  <w14:bevel/>
                </w14:textOutline>
              </w:rPr>
              <w:t>情况</w:t>
            </w:r>
          </w:p>
        </w:tc>
        <w:tc>
          <w:tcPr>
            <w:tcW w:w="264" w:type="pct"/>
            <w:gridSpan w:val="2"/>
            <w:vMerge w:val="restart"/>
            <w:tcBorders>
              <w:bottom w:val="nil"/>
            </w:tcBorders>
            <w:vAlign w:val="center"/>
          </w:tcPr>
          <w:p>
            <w:pPr>
              <w:pStyle w:val="243"/>
              <w:spacing w:before="58" w:line="219" w:lineRule="auto"/>
              <w:jc w:val="center"/>
              <w:rPr>
                <w:lang w:eastAsia="zh-CN"/>
              </w:rPr>
            </w:pPr>
            <w:r>
              <w:rPr>
                <w:rFonts w:hint="eastAsia"/>
                <w:spacing w:val="-2"/>
                <w:lang w:eastAsia="zh-CN"/>
                <w14:textOutline w14:w="3263" w14:cap="sq" w14:cmpd="sng" w14:algn="ctr">
                  <w14:solidFill>
                    <w14:srgbClr w14:val="000000"/>
                  </w14:solidFill>
                  <w14:prstDash w14:val="solid"/>
                  <w14:bevel/>
                </w14:textOutline>
              </w:rPr>
              <w:t>水池（箱）</w:t>
            </w:r>
          </w:p>
        </w:tc>
        <w:tc>
          <w:tcPr>
            <w:tcW w:w="311" w:type="pct"/>
            <w:gridSpan w:val="2"/>
            <w:vMerge w:val="restart"/>
            <w:tcBorders>
              <w:bottom w:val="nil"/>
            </w:tcBorders>
            <w:vAlign w:val="center"/>
          </w:tcPr>
          <w:p>
            <w:pPr>
              <w:pStyle w:val="243"/>
              <w:spacing w:before="152"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744" w:type="pct"/>
            <w:gridSpan w:val="3"/>
          </w:tcPr>
          <w:p>
            <w:pPr>
              <w:pStyle w:val="243"/>
              <w:spacing w:before="147" w:line="219" w:lineRule="auto"/>
              <w:ind w:left="746"/>
            </w:pPr>
            <w:r>
              <w:rPr>
                <w:spacing w:val="-1"/>
                <w14:textOutline w14:w="3263" w14:cap="sq" w14:cmpd="sng" w14:algn="ctr">
                  <w14:solidFill>
                    <w14:srgbClr w14:val="000000"/>
                  </w14:solidFill>
                  <w14:prstDash w14:val="solid"/>
                  <w14:bevel/>
                </w14:textOutline>
              </w:rPr>
              <w:t>泵房所处楼层</w:t>
            </w:r>
          </w:p>
        </w:tc>
        <w:tc>
          <w:tcPr>
            <w:tcW w:w="1065" w:type="pct"/>
            <w:gridSpan w:val="5"/>
          </w:tcPr>
          <w:p>
            <w:pPr>
              <w:pStyle w:val="243"/>
              <w:spacing w:before="112" w:line="242" w:lineRule="exact"/>
              <w:ind w:left="662"/>
              <w:rPr>
                <w:lang w:eastAsia="zh-CN"/>
              </w:rPr>
            </w:pPr>
            <w:r>
              <w:rPr>
                <w:rFonts w:hint="eastAsia" w:ascii="Times New Roman" w:hAnsi="Times New Roman" w:cs="Times New Roman"/>
                <w:b/>
                <w:bCs/>
                <w:spacing w:val="-3"/>
                <w:lang w:eastAsia="zh-CN"/>
              </w:rPr>
              <w:t>□</w:t>
            </w:r>
            <w:r>
              <w:rPr>
                <w:rFonts w:ascii="Times New Roman" w:hAnsi="Times New Roman" w:eastAsia="Times New Roman" w:cs="Times New Roman"/>
                <w:b/>
                <w:bCs/>
                <w:spacing w:val="-26"/>
                <w:lang w:eastAsia="zh-CN"/>
              </w:rPr>
              <w:t xml:space="preserve"> </w:t>
            </w:r>
            <w:r>
              <w:rPr>
                <w:spacing w:val="-3"/>
                <w:lang w:eastAsia="zh-CN"/>
                <w14:textOutline w14:w="3263" w14:cap="sq" w14:cmpd="sng" w14:algn="ctr">
                  <w14:solidFill>
                    <w14:srgbClr w14:val="000000"/>
                  </w14:solidFill>
                  <w14:prstDash w14:val="solid"/>
                  <w14:bevel/>
                </w14:textOutline>
              </w:rPr>
              <w:t>负一层</w:t>
            </w:r>
            <w:r>
              <w:rPr>
                <w:spacing w:val="-3"/>
                <w:lang w:eastAsia="zh-CN"/>
              </w:rPr>
              <w:t xml:space="preserve"> </w:t>
            </w:r>
            <w:r>
              <w:rPr>
                <w:rFonts w:hint="eastAsia" w:ascii="Times New Roman" w:hAnsi="Times New Roman" w:cs="Times New Roman"/>
                <w:b/>
                <w:bCs/>
                <w:spacing w:val="-3"/>
                <w:lang w:eastAsia="zh-CN"/>
              </w:rPr>
              <w:t>□</w:t>
            </w:r>
            <w:r>
              <w:rPr>
                <w:rFonts w:ascii="Times New Roman" w:hAnsi="Times New Roman" w:eastAsia="Times New Roman" w:cs="Times New Roman"/>
                <w:b/>
                <w:bCs/>
                <w:spacing w:val="-29"/>
                <w:lang w:eastAsia="zh-CN"/>
              </w:rPr>
              <w:t xml:space="preserve"> </w:t>
            </w:r>
            <w:r>
              <w:rPr>
                <w:spacing w:val="-3"/>
                <w:lang w:eastAsia="zh-CN"/>
                <w14:textOutline w14:w="3263" w14:cap="sq" w14:cmpd="sng" w14:algn="ctr">
                  <w14:solidFill>
                    <w14:srgbClr w14:val="000000"/>
                  </w14:solidFill>
                  <w14:prstDash w14:val="solid"/>
                  <w14:bevel/>
                </w14:textOutline>
              </w:rPr>
              <w:t>负二层</w:t>
            </w:r>
            <w:r>
              <w:rPr>
                <w:spacing w:val="5"/>
                <w:lang w:eastAsia="zh-CN"/>
              </w:rPr>
              <w:t xml:space="preserve">  </w:t>
            </w:r>
            <w:r>
              <w:rPr>
                <w:rFonts w:hint="eastAsia" w:ascii="Times New Roman" w:hAnsi="Times New Roman" w:cs="Times New Roman"/>
                <w:b/>
                <w:bCs/>
                <w:spacing w:val="-3"/>
                <w:lang w:eastAsia="zh-CN"/>
              </w:rPr>
              <w:t>□</w:t>
            </w:r>
            <w:r>
              <w:rPr>
                <w:spacing w:val="-3"/>
                <w:lang w:eastAsia="zh-CN"/>
                <w14:textOutline w14:w="3263" w14:cap="sq" w14:cmpd="sng" w14:algn="ctr">
                  <w14:solidFill>
                    <w14:srgbClr w14:val="000000"/>
                  </w14:solidFill>
                  <w14:prstDash w14:val="solid"/>
                  <w14:bevel/>
                </w14:textOutline>
              </w:rPr>
              <w:t>地下车库旁</w:t>
            </w:r>
          </w:p>
        </w:tc>
        <w:tc>
          <w:tcPr>
            <w:tcW w:w="344" w:type="pct"/>
            <w:gridSpan w:val="2"/>
            <w:vMerge w:val="restart"/>
            <w:tcBorders>
              <w:bottom w:val="nil"/>
            </w:tcBorders>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建筑分类</w:t>
            </w:r>
          </w:p>
        </w:tc>
        <w:tc>
          <w:tcPr>
            <w:tcW w:w="269" w:type="pct"/>
          </w:tcPr>
          <w:p>
            <w:pPr>
              <w:pStyle w:val="243"/>
              <w:spacing w:before="147" w:line="219" w:lineRule="auto"/>
              <w:ind w:left="120"/>
            </w:pPr>
            <w:r>
              <w:rPr>
                <w:rFonts w:hint="eastAsia" w:ascii="Times New Roman" w:hAnsi="Times New Roman" w:cs="Times New Roman"/>
                <w:spacing w:val="-5"/>
                <w:lang w:eastAsia="zh-CN"/>
              </w:rPr>
              <w:t>□</w:t>
            </w:r>
            <w:r>
              <w:rPr>
                <w:spacing w:val="-5"/>
              </w:rPr>
              <w:t>多层</w:t>
            </w:r>
          </w:p>
        </w:tc>
        <w:tc>
          <w:tcPr>
            <w:tcW w:w="550" w:type="pct"/>
            <w:gridSpan w:val="4"/>
            <w:vMerge w:val="restart"/>
            <w:tcBorders>
              <w:bottom w:val="nil"/>
            </w:tcBorders>
            <w:vAlign w:val="center"/>
          </w:tcPr>
          <w:p>
            <w:pPr>
              <w:pStyle w:val="243"/>
              <w:spacing w:before="58" w:line="212"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月最大供水量</w:t>
            </w:r>
            <w:r>
              <w:rPr>
                <w:rFonts w:ascii="Times New Roman" w:hAnsi="Times New Roman" w:eastAsia="Times New Roman" w:cs="Times New Roman"/>
                <w:b/>
                <w:bCs/>
                <w:spacing w:val="-1"/>
              </w:rPr>
              <w:t>(m</w:t>
            </w:r>
            <w:r>
              <w:rPr>
                <w:rFonts w:ascii="Times New Roman" w:hAnsi="Times New Roman" w:eastAsia="Times New Roman" w:cs="Times New Roman"/>
                <w:b/>
                <w:bCs/>
                <w:spacing w:val="-1"/>
                <w:position w:val="5"/>
                <w:sz w:val="11"/>
                <w:szCs w:val="11"/>
              </w:rPr>
              <w:t>3</w:t>
            </w:r>
            <w:r>
              <w:rPr>
                <w:rFonts w:ascii="Times New Roman" w:hAnsi="Times New Roman" w:eastAsia="Times New Roman" w:cs="Times New Roman"/>
                <w:b/>
                <w:bCs/>
                <w:spacing w:val="-1"/>
              </w:rPr>
              <w:t>)</w:t>
            </w:r>
          </w:p>
        </w:tc>
        <w:tc>
          <w:tcPr>
            <w:tcW w:w="288" w:type="pct"/>
            <w:vMerge w:val="restart"/>
            <w:tcBorders>
              <w:bottom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continue"/>
            <w:tcBorders>
              <w:top w:val="nil"/>
              <w:bottom w:val="nil"/>
            </w:tcBorders>
          </w:tcPr>
          <w:p>
            <w:pPr>
              <w:rPr>
                <w:rFonts w:ascii="Arial"/>
              </w:rPr>
            </w:pPr>
          </w:p>
        </w:tc>
        <w:tc>
          <w:tcPr>
            <w:tcW w:w="431" w:type="pct"/>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低位水池</w:t>
            </w:r>
            <w:r>
              <w:rPr>
                <w:rFonts w:ascii="Times New Roman" w:hAnsi="Times New Roman" w:eastAsia="Times New Roman" w:cs="Times New Roman"/>
                <w:spacing w:val="-2"/>
              </w:rPr>
              <w:t>+</w:t>
            </w:r>
            <w:r>
              <w:rPr>
                <w:spacing w:val="-2"/>
              </w:rPr>
              <w:t>高位水池</w:t>
            </w:r>
          </w:p>
        </w:tc>
        <w:tc>
          <w:tcPr>
            <w:tcW w:w="218" w:type="pct"/>
            <w:vMerge w:val="continue"/>
            <w:tcBorders>
              <w:top w:val="nil"/>
              <w:bottom w:val="nil"/>
            </w:tcBorders>
            <w:vAlign w:val="center"/>
          </w:tcPr>
          <w:p>
            <w:pPr>
              <w:jc w:val="center"/>
              <w:rPr>
                <w:rFonts w:ascii="Arial"/>
              </w:rPr>
            </w:pPr>
          </w:p>
        </w:tc>
        <w:tc>
          <w:tcPr>
            <w:tcW w:w="264" w:type="pct"/>
            <w:gridSpan w:val="2"/>
            <w:vMerge w:val="continue"/>
            <w:tcBorders>
              <w:top w:val="nil"/>
            </w:tcBorders>
            <w:vAlign w:val="center"/>
          </w:tcPr>
          <w:p>
            <w:pPr>
              <w:jc w:val="center"/>
              <w:rPr>
                <w:rFonts w:ascii="Arial"/>
              </w:rPr>
            </w:pPr>
          </w:p>
        </w:tc>
        <w:tc>
          <w:tcPr>
            <w:tcW w:w="311" w:type="pct"/>
            <w:gridSpan w:val="2"/>
            <w:vMerge w:val="continue"/>
            <w:tcBorders>
              <w:top w:val="nil"/>
            </w:tcBorders>
            <w:vAlign w:val="center"/>
          </w:tcPr>
          <w:p>
            <w:pPr>
              <w:jc w:val="center"/>
              <w:rPr>
                <w:rFonts w:ascii="Arial"/>
              </w:rPr>
            </w:pPr>
          </w:p>
        </w:tc>
        <w:tc>
          <w:tcPr>
            <w:tcW w:w="1056" w:type="pct"/>
            <w:gridSpan w:val="4"/>
          </w:tcPr>
          <w:p>
            <w:pPr>
              <w:pStyle w:val="243"/>
              <w:spacing w:before="146" w:line="210" w:lineRule="auto"/>
              <w:ind w:left="1057"/>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市政管网直供层数</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层</w:t>
            </w:r>
            <w:r>
              <w:rPr>
                <w:rFonts w:ascii="Times New Roman" w:hAnsi="Times New Roman" w:eastAsia="Times New Roman" w:cs="Times New Roman"/>
                <w:b/>
                <w:bCs/>
                <w:spacing w:val="-1"/>
              </w:rPr>
              <w:t>)</w:t>
            </w:r>
          </w:p>
        </w:tc>
        <w:tc>
          <w:tcPr>
            <w:tcW w:w="753" w:type="pct"/>
            <w:gridSpan w:val="4"/>
          </w:tcPr>
          <w:p>
            <w:pPr>
              <w:pStyle w:val="243"/>
              <w:spacing w:before="146" w:line="219" w:lineRule="auto"/>
              <w:ind w:left="116"/>
            </w:pPr>
            <w:r>
              <w:rPr>
                <w:spacing w:val="-2"/>
              </w:rPr>
              <w:t>从层至层，共层</w:t>
            </w:r>
          </w:p>
        </w:tc>
        <w:tc>
          <w:tcPr>
            <w:tcW w:w="344" w:type="pct"/>
            <w:gridSpan w:val="2"/>
            <w:vMerge w:val="continue"/>
            <w:tcBorders>
              <w:top w:val="nil"/>
              <w:bottom w:val="nil"/>
            </w:tcBorders>
          </w:tcPr>
          <w:p>
            <w:pPr>
              <w:rPr>
                <w:rFonts w:ascii="Arial"/>
              </w:rPr>
            </w:pPr>
          </w:p>
        </w:tc>
        <w:tc>
          <w:tcPr>
            <w:tcW w:w="269" w:type="pct"/>
          </w:tcPr>
          <w:p>
            <w:pPr>
              <w:pStyle w:val="243"/>
              <w:spacing w:before="146" w:line="219" w:lineRule="auto"/>
              <w:ind w:left="120"/>
            </w:pPr>
            <w:r>
              <w:rPr>
                <w:rFonts w:hint="eastAsia" w:ascii="Times New Roman" w:hAnsi="Times New Roman" w:cs="Times New Roman"/>
                <w:spacing w:val="-5"/>
                <w:lang w:eastAsia="zh-CN"/>
              </w:rPr>
              <w:t>□</w:t>
            </w:r>
            <w:r>
              <w:rPr>
                <w:spacing w:val="-5"/>
              </w:rPr>
              <w:t>高层</w:t>
            </w:r>
          </w:p>
        </w:tc>
        <w:tc>
          <w:tcPr>
            <w:tcW w:w="550" w:type="pct"/>
            <w:gridSpan w:val="4"/>
            <w:vMerge w:val="continue"/>
            <w:tcBorders>
              <w:top w:val="nil"/>
            </w:tcBorders>
          </w:tcPr>
          <w:p>
            <w:pPr>
              <w:rPr>
                <w:rFonts w:ascii="Arial"/>
              </w:rPr>
            </w:pPr>
          </w:p>
        </w:tc>
        <w:tc>
          <w:tcPr>
            <w:tcW w:w="288" w:type="pct"/>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continue"/>
            <w:tcBorders>
              <w:top w:val="nil"/>
              <w:bottom w:val="nil"/>
            </w:tcBorders>
          </w:tcPr>
          <w:p>
            <w:pPr>
              <w:rPr>
                <w:rFonts w:ascii="Arial"/>
              </w:rPr>
            </w:pPr>
          </w:p>
        </w:tc>
        <w:tc>
          <w:tcPr>
            <w:tcW w:w="431" w:type="pct"/>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市政常压</w:t>
            </w:r>
            <w:r>
              <w:rPr>
                <w:rFonts w:ascii="Times New Roman" w:hAnsi="Times New Roman" w:eastAsia="Times New Roman" w:cs="Times New Roman"/>
                <w:spacing w:val="-2"/>
              </w:rPr>
              <w:t>+</w:t>
            </w:r>
            <w:r>
              <w:rPr>
                <w:spacing w:val="-2"/>
              </w:rPr>
              <w:t>高位水池</w:t>
            </w:r>
          </w:p>
        </w:tc>
        <w:tc>
          <w:tcPr>
            <w:tcW w:w="218" w:type="pct"/>
            <w:vMerge w:val="continue"/>
            <w:tcBorders>
              <w:top w:val="nil"/>
              <w:bottom w:val="nil"/>
            </w:tcBorders>
            <w:vAlign w:val="center"/>
          </w:tcPr>
          <w:p>
            <w:pPr>
              <w:jc w:val="center"/>
              <w:rPr>
                <w:rFonts w:ascii="Arial"/>
              </w:rPr>
            </w:pPr>
          </w:p>
        </w:tc>
        <w:tc>
          <w:tcPr>
            <w:tcW w:w="264" w:type="pct"/>
            <w:gridSpan w:val="2"/>
            <w:vMerge w:val="restart"/>
            <w:tcBorders>
              <w:bottom w:val="nil"/>
            </w:tcBorders>
            <w:vAlign w:val="center"/>
          </w:tcPr>
          <w:p>
            <w:pPr>
              <w:pStyle w:val="243"/>
              <w:spacing w:before="59" w:line="219" w:lineRule="auto"/>
              <w:jc w:val="center"/>
            </w:pPr>
            <w:r>
              <w:rPr>
                <w:spacing w:val="-3"/>
                <w14:textOutline w14:w="3263" w14:cap="sq" w14:cmpd="sng" w14:algn="ctr">
                  <w14:solidFill>
                    <w14:srgbClr w14:val="000000"/>
                  </w14:solidFill>
                  <w14:prstDash w14:val="solid"/>
                  <w14:bevel/>
                </w14:textOutline>
              </w:rPr>
              <w:t>管路系统</w:t>
            </w:r>
          </w:p>
        </w:tc>
        <w:tc>
          <w:tcPr>
            <w:tcW w:w="311" w:type="pct"/>
            <w:gridSpan w:val="2"/>
            <w:vMerge w:val="restart"/>
            <w:tcBorders>
              <w:bottom w:val="nil"/>
            </w:tcBorders>
            <w:vAlign w:val="center"/>
          </w:tcPr>
          <w:p>
            <w:pPr>
              <w:pStyle w:val="243"/>
              <w:spacing w:before="151"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1056" w:type="pct"/>
            <w:gridSpan w:val="4"/>
            <w:vMerge w:val="restart"/>
            <w:tcBorders>
              <w:bottom w:val="nil"/>
            </w:tcBorders>
            <w:vAlign w:val="center"/>
          </w:tcPr>
          <w:p>
            <w:pPr>
              <w:pStyle w:val="243"/>
              <w:spacing w:before="58" w:line="210"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二次加压供水层数</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层</w:t>
            </w:r>
            <w:r>
              <w:rPr>
                <w:rFonts w:ascii="Times New Roman" w:hAnsi="Times New Roman" w:eastAsia="Times New Roman" w:cs="Times New Roman"/>
                <w:b/>
                <w:bCs/>
                <w:spacing w:val="-1"/>
              </w:rPr>
              <w:t>)</w:t>
            </w:r>
          </w:p>
        </w:tc>
        <w:tc>
          <w:tcPr>
            <w:tcW w:w="753" w:type="pct"/>
            <w:gridSpan w:val="4"/>
            <w:vMerge w:val="restart"/>
            <w:tcBorders>
              <w:bottom w:val="nil"/>
            </w:tcBorders>
          </w:tcPr>
          <w:p>
            <w:pPr>
              <w:pStyle w:val="243"/>
              <w:spacing w:before="151" w:line="219" w:lineRule="auto"/>
              <w:ind w:left="116"/>
            </w:pPr>
            <w:r>
              <w:rPr>
                <w:spacing w:val="-3"/>
              </w:rPr>
              <w:t>从层至层</w:t>
            </w:r>
          </w:p>
          <w:p>
            <w:pPr>
              <w:pStyle w:val="243"/>
              <w:spacing w:before="254" w:line="219" w:lineRule="auto"/>
              <w:ind w:left="116"/>
            </w:pPr>
            <w:r>
              <w:rPr>
                <w:spacing w:val="-2"/>
              </w:rPr>
              <w:t>无层，共层</w:t>
            </w:r>
          </w:p>
        </w:tc>
        <w:tc>
          <w:tcPr>
            <w:tcW w:w="344" w:type="pct"/>
            <w:gridSpan w:val="2"/>
            <w:vMerge w:val="continue"/>
            <w:tcBorders>
              <w:top w:val="nil"/>
              <w:bottom w:val="nil"/>
            </w:tcBorders>
          </w:tcPr>
          <w:p>
            <w:pPr>
              <w:rPr>
                <w:rFonts w:ascii="Arial"/>
              </w:rPr>
            </w:pPr>
          </w:p>
        </w:tc>
        <w:tc>
          <w:tcPr>
            <w:tcW w:w="269" w:type="pct"/>
            <w:vMerge w:val="restart"/>
            <w:tcBorders>
              <w:bottom w:val="nil"/>
            </w:tcBorders>
            <w:vAlign w:val="center"/>
          </w:tcPr>
          <w:p>
            <w:pPr>
              <w:pStyle w:val="243"/>
              <w:spacing w:before="59" w:line="219" w:lineRule="auto"/>
              <w:jc w:val="center"/>
            </w:pPr>
            <w:r>
              <w:rPr>
                <w:rFonts w:hint="eastAsia" w:ascii="Times New Roman" w:hAnsi="Times New Roman" w:cs="Times New Roman"/>
                <w:spacing w:val="-3"/>
                <w:lang w:eastAsia="zh-CN"/>
              </w:rPr>
              <w:t>□</w:t>
            </w:r>
            <w:r>
              <w:rPr>
                <w:spacing w:val="-3"/>
              </w:rPr>
              <w:t>多层</w:t>
            </w:r>
            <w:r>
              <w:rPr>
                <w:rFonts w:ascii="Times New Roman" w:hAnsi="Times New Roman" w:eastAsia="Times New Roman" w:cs="Times New Roman"/>
                <w:spacing w:val="-3"/>
              </w:rPr>
              <w:t>+</w:t>
            </w:r>
            <w:r>
              <w:rPr>
                <w:spacing w:val="-3"/>
              </w:rPr>
              <w:t>高层</w:t>
            </w:r>
          </w:p>
        </w:tc>
        <w:tc>
          <w:tcPr>
            <w:tcW w:w="550" w:type="pct"/>
            <w:gridSpan w:val="4"/>
            <w:vMerge w:val="restart"/>
            <w:tcBorders>
              <w:bottom w:val="nil"/>
            </w:tcBorders>
            <w:vAlign w:val="center"/>
          </w:tcPr>
          <w:p>
            <w:pPr>
              <w:pStyle w:val="243"/>
              <w:spacing w:before="58" w:line="210" w:lineRule="auto"/>
              <w:ind w:left="117"/>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月最大用电量</w:t>
            </w:r>
            <w:r>
              <w:rPr>
                <w:rFonts w:ascii="Times New Roman" w:hAnsi="Times New Roman" w:eastAsia="Times New Roman" w:cs="Times New Roman"/>
                <w:b/>
                <w:bCs/>
                <w:spacing w:val="-1"/>
              </w:rPr>
              <w:t>(KWh)</w:t>
            </w:r>
          </w:p>
        </w:tc>
        <w:tc>
          <w:tcPr>
            <w:tcW w:w="288" w:type="pct"/>
            <w:vMerge w:val="restart"/>
            <w:tcBorders>
              <w:bottom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continue"/>
            <w:tcBorders>
              <w:top w:val="nil"/>
              <w:bottom w:val="nil"/>
            </w:tcBorders>
          </w:tcPr>
          <w:p>
            <w:pPr>
              <w:rPr>
                <w:rFonts w:ascii="Arial"/>
              </w:rPr>
            </w:pPr>
          </w:p>
        </w:tc>
        <w:tc>
          <w:tcPr>
            <w:tcW w:w="431" w:type="pct"/>
            <w:gridSpan w:val="4"/>
            <w:vAlign w:val="center"/>
          </w:tcPr>
          <w:p>
            <w:pPr>
              <w:pStyle w:val="243"/>
              <w:spacing w:before="146" w:line="219" w:lineRule="auto"/>
            </w:pPr>
            <w:r>
              <w:rPr>
                <w:rFonts w:hint="eastAsia" w:ascii="Times New Roman" w:hAnsi="Times New Roman" w:cs="Times New Roman"/>
                <w:spacing w:val="-2"/>
                <w:lang w:eastAsia="zh-CN"/>
              </w:rPr>
              <w:t>□</w:t>
            </w:r>
            <w:r>
              <w:rPr>
                <w:spacing w:val="-2"/>
              </w:rPr>
              <w:t>市政直抽</w:t>
            </w:r>
            <w:r>
              <w:rPr>
                <w:rFonts w:ascii="Times New Roman" w:hAnsi="Times New Roman" w:eastAsia="Times New Roman" w:cs="Times New Roman"/>
                <w:spacing w:val="-2"/>
              </w:rPr>
              <w:t>+</w:t>
            </w:r>
            <w:r>
              <w:rPr>
                <w:spacing w:val="-2"/>
              </w:rPr>
              <w:t>高位水池</w:t>
            </w:r>
          </w:p>
        </w:tc>
        <w:tc>
          <w:tcPr>
            <w:tcW w:w="218" w:type="pct"/>
            <w:vMerge w:val="continue"/>
            <w:tcBorders>
              <w:top w:val="nil"/>
              <w:bottom w:val="nil"/>
            </w:tcBorders>
            <w:vAlign w:val="center"/>
          </w:tcPr>
          <w:p>
            <w:pPr>
              <w:jc w:val="center"/>
              <w:rPr>
                <w:rFonts w:ascii="Arial"/>
              </w:rPr>
            </w:pPr>
          </w:p>
        </w:tc>
        <w:tc>
          <w:tcPr>
            <w:tcW w:w="264" w:type="pct"/>
            <w:gridSpan w:val="2"/>
            <w:vMerge w:val="continue"/>
            <w:tcBorders>
              <w:top w:val="nil"/>
            </w:tcBorders>
            <w:vAlign w:val="center"/>
          </w:tcPr>
          <w:p>
            <w:pPr>
              <w:jc w:val="center"/>
              <w:rPr>
                <w:rFonts w:ascii="Arial"/>
              </w:rPr>
            </w:pPr>
          </w:p>
        </w:tc>
        <w:tc>
          <w:tcPr>
            <w:tcW w:w="311" w:type="pct"/>
            <w:gridSpan w:val="2"/>
            <w:vMerge w:val="continue"/>
            <w:tcBorders>
              <w:top w:val="nil"/>
            </w:tcBorders>
            <w:vAlign w:val="center"/>
          </w:tcPr>
          <w:p>
            <w:pPr>
              <w:jc w:val="center"/>
              <w:rPr>
                <w:rFonts w:ascii="Arial"/>
              </w:rPr>
            </w:pPr>
          </w:p>
        </w:tc>
        <w:tc>
          <w:tcPr>
            <w:tcW w:w="1056" w:type="pct"/>
            <w:gridSpan w:val="4"/>
            <w:vMerge w:val="continue"/>
            <w:tcBorders>
              <w:top w:val="nil"/>
            </w:tcBorders>
          </w:tcPr>
          <w:p>
            <w:pPr>
              <w:rPr>
                <w:rFonts w:ascii="Arial"/>
              </w:rPr>
            </w:pPr>
          </w:p>
        </w:tc>
        <w:tc>
          <w:tcPr>
            <w:tcW w:w="753" w:type="pct"/>
            <w:gridSpan w:val="4"/>
            <w:vMerge w:val="continue"/>
            <w:tcBorders>
              <w:top w:val="nil"/>
            </w:tcBorders>
          </w:tcPr>
          <w:p>
            <w:pPr>
              <w:rPr>
                <w:rFonts w:ascii="Arial"/>
              </w:rPr>
            </w:pPr>
          </w:p>
        </w:tc>
        <w:tc>
          <w:tcPr>
            <w:tcW w:w="344" w:type="pct"/>
            <w:gridSpan w:val="2"/>
            <w:vMerge w:val="continue"/>
            <w:tcBorders>
              <w:top w:val="nil"/>
            </w:tcBorders>
          </w:tcPr>
          <w:p>
            <w:pPr>
              <w:rPr>
                <w:rFonts w:ascii="Arial"/>
              </w:rPr>
            </w:pPr>
          </w:p>
        </w:tc>
        <w:tc>
          <w:tcPr>
            <w:tcW w:w="269" w:type="pct"/>
            <w:vMerge w:val="continue"/>
            <w:tcBorders>
              <w:top w:val="nil"/>
            </w:tcBorders>
          </w:tcPr>
          <w:p>
            <w:pPr>
              <w:rPr>
                <w:rFonts w:ascii="Arial"/>
              </w:rPr>
            </w:pPr>
          </w:p>
        </w:tc>
        <w:tc>
          <w:tcPr>
            <w:tcW w:w="550" w:type="pct"/>
            <w:gridSpan w:val="4"/>
            <w:vMerge w:val="continue"/>
            <w:tcBorders>
              <w:top w:val="nil"/>
            </w:tcBorders>
          </w:tcPr>
          <w:p>
            <w:pPr>
              <w:rPr>
                <w:rFonts w:ascii="Arial"/>
              </w:rPr>
            </w:pPr>
          </w:p>
        </w:tc>
        <w:tc>
          <w:tcPr>
            <w:tcW w:w="288" w:type="pct"/>
            <w:vMerge w:val="continue"/>
            <w:tcBorders>
              <w:top w:val="nil"/>
            </w:tcBorders>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continue"/>
            <w:tcBorders>
              <w:top w:val="nil"/>
              <w:bottom w:val="nil"/>
            </w:tcBorders>
          </w:tcPr>
          <w:p>
            <w:pPr>
              <w:rPr>
                <w:rFonts w:ascii="Arial"/>
              </w:rPr>
            </w:pPr>
          </w:p>
        </w:tc>
        <w:tc>
          <w:tcPr>
            <w:tcW w:w="431" w:type="pct"/>
            <w:gridSpan w:val="4"/>
            <w:vAlign w:val="center"/>
          </w:tcPr>
          <w:p>
            <w:pPr>
              <w:pStyle w:val="243"/>
              <w:spacing w:before="59" w:line="219" w:lineRule="auto"/>
            </w:pPr>
            <w:r>
              <w:rPr>
                <w:rFonts w:hint="eastAsia" w:ascii="Times New Roman" w:hAnsi="Times New Roman" w:cs="Times New Roman"/>
                <w:spacing w:val="-3"/>
                <w:lang w:eastAsia="zh-CN"/>
              </w:rPr>
              <w:t>□</w:t>
            </w:r>
            <w:r>
              <w:rPr>
                <w:spacing w:val="-3"/>
              </w:rPr>
              <w:t>叠压供水</w:t>
            </w:r>
          </w:p>
        </w:tc>
        <w:tc>
          <w:tcPr>
            <w:tcW w:w="218" w:type="pct"/>
            <w:vMerge w:val="continue"/>
            <w:tcBorders>
              <w:top w:val="nil"/>
              <w:bottom w:val="nil"/>
            </w:tcBorders>
            <w:vAlign w:val="center"/>
          </w:tcPr>
          <w:p>
            <w:pPr>
              <w:jc w:val="center"/>
              <w:rPr>
                <w:rFonts w:ascii="Arial"/>
              </w:rPr>
            </w:pPr>
          </w:p>
        </w:tc>
        <w:tc>
          <w:tcPr>
            <w:tcW w:w="264" w:type="pct"/>
            <w:gridSpan w:val="2"/>
            <w:vMerge w:val="restart"/>
            <w:tcBorders>
              <w:bottom w:val="nil"/>
            </w:tcBorders>
            <w:vAlign w:val="center"/>
          </w:tcPr>
          <w:p>
            <w:pPr>
              <w:pStyle w:val="243"/>
              <w:spacing w:before="58" w:line="212" w:lineRule="auto"/>
              <w:ind w:left="112"/>
              <w:jc w:val="center"/>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泵房</w:t>
            </w:r>
            <w:r>
              <w:rPr>
                <w:rFonts w:ascii="Times New Roman" w:hAnsi="Times New Roman" w:eastAsia="Times New Roman" w:cs="Times New Roman"/>
                <w:b/>
                <w:bCs/>
                <w:spacing w:val="-2"/>
              </w:rPr>
              <w:t>(</w:t>
            </w:r>
            <w:r>
              <w:rPr>
                <w:spacing w:val="-2"/>
                <w14:textOutline w14:w="3263" w14:cap="sq" w14:cmpd="sng" w14:algn="ctr">
                  <w14:solidFill>
                    <w14:srgbClr w14:val="000000"/>
                  </w14:solidFill>
                  <w14:prstDash w14:val="solid"/>
                  <w14:bevel/>
                </w14:textOutline>
              </w:rPr>
              <w:t>间</w:t>
            </w:r>
            <w:r>
              <w:rPr>
                <w:rFonts w:ascii="Times New Roman" w:hAnsi="Times New Roman" w:eastAsia="Times New Roman" w:cs="Times New Roman"/>
                <w:b/>
                <w:bCs/>
                <w:spacing w:val="-2"/>
              </w:rPr>
              <w:t>)</w:t>
            </w:r>
          </w:p>
        </w:tc>
        <w:tc>
          <w:tcPr>
            <w:tcW w:w="311" w:type="pct"/>
            <w:gridSpan w:val="2"/>
            <w:vMerge w:val="restart"/>
            <w:tcBorders>
              <w:bottom w:val="nil"/>
            </w:tcBorders>
            <w:vAlign w:val="center"/>
          </w:tcPr>
          <w:p>
            <w:pPr>
              <w:pStyle w:val="243"/>
              <w:spacing w:before="59" w:line="219" w:lineRule="auto"/>
              <w:ind w:left="119"/>
              <w:rPr>
                <w:lang w:eastAsia="zh-CN"/>
              </w:rPr>
            </w:pPr>
            <w:r>
              <w:rPr>
                <w:rFonts w:hint="eastAsia" w:ascii="Times New Roman" w:hAnsi="Times New Roman" w:cs="Times New Roman"/>
                <w:spacing w:val="-3"/>
                <w:lang w:eastAsia="zh-CN"/>
              </w:rPr>
              <w:t>□</w:t>
            </w:r>
            <w:r>
              <w:rPr>
                <w:spacing w:val="-3"/>
                <w:lang w:eastAsia="zh-CN"/>
              </w:rPr>
              <w:t>完全分离</w:t>
            </w:r>
          </w:p>
          <w:p>
            <w:pPr>
              <w:pStyle w:val="243"/>
              <w:spacing w:before="254" w:line="220" w:lineRule="auto"/>
              <w:ind w:left="119"/>
              <w:rPr>
                <w:lang w:eastAsia="zh-CN"/>
              </w:rPr>
            </w:pPr>
            <w:r>
              <w:rPr>
                <w:rFonts w:hint="eastAsia" w:ascii="Times New Roman" w:hAnsi="Times New Roman" w:cs="Times New Roman"/>
                <w:spacing w:val="-8"/>
                <w:lang w:eastAsia="zh-CN"/>
              </w:rPr>
              <w:t>□</w:t>
            </w:r>
            <w:r>
              <w:rPr>
                <w:rFonts w:ascii="Times New Roman" w:hAnsi="Times New Roman" w:eastAsia="Times New Roman" w:cs="Times New Roman"/>
                <w:spacing w:val="-20"/>
                <w:lang w:eastAsia="zh-CN"/>
              </w:rPr>
              <w:t xml:space="preserve"> </w:t>
            </w:r>
            <w:r>
              <w:rPr>
                <w:spacing w:val="-8"/>
                <w:lang w:eastAsia="zh-CN"/>
              </w:rPr>
              <w:t>中间分隔</w:t>
            </w:r>
          </w:p>
        </w:tc>
        <w:tc>
          <w:tcPr>
            <w:tcW w:w="354" w:type="pct"/>
            <w:vMerge w:val="restart"/>
            <w:tcBorders>
              <w:bottom w:val="nil"/>
            </w:tcBorders>
            <w:vAlign w:val="center"/>
          </w:tcPr>
          <w:p>
            <w:pPr>
              <w:pStyle w:val="243"/>
              <w:spacing w:before="59" w:line="219" w:lineRule="auto"/>
              <w:jc w:val="center"/>
            </w:pPr>
            <w:r>
              <w:rPr>
                <w:spacing w:val="-2"/>
                <w14:textOutline w14:w="3263" w14:cap="sq" w14:cmpd="sng" w14:algn="ctr">
                  <w14:solidFill>
                    <w14:srgbClr w14:val="000000"/>
                  </w14:solidFill>
                  <w14:prstDash w14:val="solid"/>
                  <w14:bevel/>
                </w14:textOutline>
              </w:rPr>
              <w:t>供水户数</w:t>
            </w:r>
          </w:p>
        </w:tc>
        <w:tc>
          <w:tcPr>
            <w:tcW w:w="390" w:type="pct"/>
            <w:gridSpan w:val="2"/>
            <w:vAlign w:val="center"/>
          </w:tcPr>
          <w:p>
            <w:pPr>
              <w:pStyle w:val="243"/>
              <w:spacing w:before="59" w:line="210" w:lineRule="auto"/>
              <w:jc w:val="center"/>
              <w:rPr>
                <w:rFonts w:ascii="Times New Roman" w:hAnsi="Times New Roman" w:eastAsia="Times New Roman" w:cs="Times New Roman"/>
              </w:rPr>
            </w:pPr>
            <w:r>
              <w:rPr>
                <w:spacing w:val="-2"/>
              </w:rPr>
              <w:t>栋</w:t>
            </w:r>
            <w:r>
              <w:rPr>
                <w:rFonts w:ascii="Times New Roman" w:hAnsi="Times New Roman" w:eastAsia="Times New Roman" w:cs="Times New Roman"/>
                <w:spacing w:val="-2"/>
              </w:rPr>
              <w:t>(</w:t>
            </w:r>
            <w:r>
              <w:rPr>
                <w:spacing w:val="-2"/>
              </w:rPr>
              <w:t>阁</w:t>
            </w:r>
            <w:r>
              <w:rPr>
                <w:rFonts w:ascii="Times New Roman" w:hAnsi="Times New Roman" w:eastAsia="Times New Roman" w:cs="Times New Roman"/>
                <w:spacing w:val="-2"/>
              </w:rPr>
              <w:t>)</w:t>
            </w:r>
          </w:p>
        </w:tc>
        <w:tc>
          <w:tcPr>
            <w:tcW w:w="312" w:type="pct"/>
            <w:vAlign w:val="center"/>
          </w:tcPr>
          <w:p>
            <w:pPr>
              <w:pStyle w:val="243"/>
              <w:spacing w:before="59" w:line="210" w:lineRule="auto"/>
              <w:jc w:val="center"/>
              <w:rPr>
                <w:rFonts w:ascii="Times New Roman" w:hAnsi="Times New Roman" w:eastAsia="Times New Roman" w:cs="Times New Roman"/>
              </w:rPr>
            </w:pPr>
            <w:r>
              <w:rPr>
                <w:spacing w:val="-3"/>
              </w:rPr>
              <w:t>栋</w:t>
            </w:r>
            <w:r>
              <w:rPr>
                <w:rFonts w:ascii="Times New Roman" w:hAnsi="Times New Roman" w:eastAsia="Times New Roman" w:cs="Times New Roman"/>
                <w:spacing w:val="-3"/>
              </w:rPr>
              <w:t>(</w:t>
            </w:r>
            <w:r>
              <w:rPr>
                <w:spacing w:val="-3"/>
              </w:rPr>
              <w:t>阁</w:t>
            </w:r>
            <w:r>
              <w:rPr>
                <w:rFonts w:ascii="Times New Roman" w:hAnsi="Times New Roman" w:eastAsia="Times New Roman" w:cs="Times New Roman"/>
                <w:spacing w:val="-3"/>
              </w:rPr>
              <w:t>)</w:t>
            </w:r>
          </w:p>
        </w:tc>
        <w:tc>
          <w:tcPr>
            <w:tcW w:w="272" w:type="pct"/>
            <w:vAlign w:val="center"/>
          </w:tcPr>
          <w:p>
            <w:pPr>
              <w:pStyle w:val="243"/>
              <w:spacing w:before="59" w:line="210" w:lineRule="auto"/>
              <w:jc w:val="center"/>
              <w:rPr>
                <w:rFonts w:ascii="Times New Roman" w:hAnsi="Times New Roman" w:eastAsia="Times New Roman" w:cs="Times New Roman"/>
              </w:rPr>
            </w:pPr>
            <w:r>
              <w:rPr>
                <w:spacing w:val="-3"/>
              </w:rPr>
              <w:t>栋</w:t>
            </w:r>
            <w:r>
              <w:rPr>
                <w:rFonts w:ascii="Times New Roman" w:hAnsi="Times New Roman" w:eastAsia="Times New Roman" w:cs="Times New Roman"/>
                <w:spacing w:val="-3"/>
              </w:rPr>
              <w:t>(</w:t>
            </w:r>
            <w:r>
              <w:rPr>
                <w:spacing w:val="-3"/>
              </w:rPr>
              <w:t>阁</w:t>
            </w:r>
            <w:r>
              <w:rPr>
                <w:rFonts w:ascii="Times New Roman" w:hAnsi="Times New Roman" w:eastAsia="Times New Roman" w:cs="Times New Roman"/>
                <w:spacing w:val="-3"/>
              </w:rPr>
              <w:t>)</w:t>
            </w:r>
          </w:p>
        </w:tc>
        <w:tc>
          <w:tcPr>
            <w:tcW w:w="480" w:type="pct"/>
            <w:gridSpan w:val="3"/>
            <w:vMerge w:val="restart"/>
            <w:tcBorders>
              <w:bottom w:val="nil"/>
            </w:tcBorders>
          </w:tcPr>
          <w:p>
            <w:pPr>
              <w:rPr>
                <w:rFonts w:ascii="Arial"/>
              </w:rPr>
            </w:pPr>
          </w:p>
        </w:tc>
        <w:tc>
          <w:tcPr>
            <w:tcW w:w="344" w:type="pct"/>
            <w:gridSpan w:val="2"/>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供水性质分类</w:t>
            </w:r>
          </w:p>
        </w:tc>
        <w:tc>
          <w:tcPr>
            <w:tcW w:w="269" w:type="pct"/>
            <w:vAlign w:val="center"/>
          </w:tcPr>
          <w:p>
            <w:pPr>
              <w:pStyle w:val="243"/>
              <w:spacing w:before="58" w:line="220" w:lineRule="auto"/>
              <w:jc w:val="center"/>
            </w:pPr>
            <w:r>
              <w:rPr>
                <w:rFonts w:hint="eastAsia" w:ascii="Times New Roman" w:hAnsi="Times New Roman" w:cs="Times New Roman"/>
                <w:spacing w:val="-3"/>
                <w:lang w:eastAsia="zh-CN"/>
              </w:rPr>
              <w:t>□</w:t>
            </w:r>
            <w:r>
              <w:rPr>
                <w:spacing w:val="-3"/>
              </w:rPr>
              <w:t>商住结合</w:t>
            </w:r>
          </w:p>
        </w:tc>
        <w:tc>
          <w:tcPr>
            <w:tcW w:w="305" w:type="pct"/>
            <w:gridSpan w:val="2"/>
            <w:vAlign w:val="center"/>
          </w:tcPr>
          <w:p>
            <w:pPr>
              <w:pStyle w:val="243"/>
              <w:spacing w:before="59" w:line="221" w:lineRule="auto"/>
              <w:jc w:val="center"/>
            </w:pPr>
            <w:r>
              <w:rPr>
                <w:rFonts w:hint="eastAsia" w:ascii="Times New Roman" w:hAnsi="Times New Roman" w:cs="Times New Roman"/>
                <w:spacing w:val="-4"/>
                <w:lang w:eastAsia="zh-CN"/>
              </w:rPr>
              <w:t>□</w:t>
            </w:r>
            <w:r>
              <w:rPr>
                <w:spacing w:val="-4"/>
              </w:rPr>
              <w:t>住宅</w:t>
            </w:r>
          </w:p>
        </w:tc>
        <w:tc>
          <w:tcPr>
            <w:tcW w:w="244" w:type="pct"/>
            <w:gridSpan w:val="2"/>
            <w:vAlign w:val="center"/>
          </w:tcPr>
          <w:p>
            <w:pPr>
              <w:pStyle w:val="243"/>
              <w:spacing w:before="58" w:line="220" w:lineRule="auto"/>
              <w:ind w:left="119"/>
              <w:jc w:val="center"/>
            </w:pPr>
            <w:r>
              <w:rPr>
                <w:rFonts w:hint="eastAsia" w:ascii="Times New Roman" w:hAnsi="Times New Roman" w:cs="Times New Roman"/>
                <w:spacing w:val="-5"/>
                <w:lang w:eastAsia="zh-CN"/>
              </w:rPr>
              <w:t>□</w:t>
            </w:r>
            <w:r>
              <w:rPr>
                <w:spacing w:val="-5"/>
              </w:rPr>
              <w:t>商业</w:t>
            </w:r>
          </w:p>
        </w:tc>
        <w:tc>
          <w:tcPr>
            <w:tcW w:w="288" w:type="pct"/>
            <w:vAlign w:val="center"/>
          </w:tcPr>
          <w:p>
            <w:pPr>
              <w:pStyle w:val="243"/>
              <w:spacing w:before="59" w:line="219" w:lineRule="auto"/>
              <w:jc w:val="center"/>
            </w:pPr>
            <w:r>
              <w:rPr>
                <w:rFonts w:hint="eastAsia" w:ascii="Times New Roman" w:hAnsi="Times New Roman" w:cs="Times New Roman"/>
                <w:spacing w:val="-4"/>
                <w:lang w:eastAsia="zh-CN"/>
              </w:rPr>
              <w:t>□</w:t>
            </w:r>
            <w:r>
              <w:rPr>
                <w:spacing w:val="-4"/>
              </w:rPr>
              <w:t>城中村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96" w:type="pct"/>
            <w:vMerge w:val="continue"/>
            <w:tcBorders>
              <w:top w:val="nil"/>
              <w:bottom w:val="nil"/>
            </w:tcBorders>
            <w:textDirection w:val="tbRlV"/>
            <w:vAlign w:val="bottom"/>
          </w:tcPr>
          <w:p>
            <w:pPr>
              <w:rPr>
                <w:rFonts w:ascii="Arial"/>
              </w:rPr>
            </w:pPr>
          </w:p>
        </w:tc>
        <w:tc>
          <w:tcPr>
            <w:tcW w:w="413" w:type="pct"/>
            <w:gridSpan w:val="2"/>
            <w:vMerge w:val="continue"/>
            <w:tcBorders>
              <w:top w:val="nil"/>
            </w:tcBorders>
          </w:tcPr>
          <w:p>
            <w:pPr>
              <w:rPr>
                <w:rFonts w:ascii="Arial"/>
              </w:rPr>
            </w:pPr>
          </w:p>
        </w:tc>
        <w:tc>
          <w:tcPr>
            <w:tcW w:w="431" w:type="pct"/>
            <w:gridSpan w:val="4"/>
            <w:vAlign w:val="center"/>
          </w:tcPr>
          <w:p>
            <w:pPr>
              <w:pStyle w:val="243"/>
              <w:spacing w:before="59" w:line="220" w:lineRule="auto"/>
            </w:pPr>
            <w:r>
              <w:rPr>
                <w:rFonts w:hint="eastAsia" w:ascii="Times New Roman" w:hAnsi="Times New Roman" w:cs="Times New Roman"/>
                <w:spacing w:val="-5"/>
                <w:lang w:eastAsia="zh-CN"/>
              </w:rPr>
              <w:t>□</w:t>
            </w:r>
            <w:r>
              <w:rPr>
                <w:spacing w:val="-5"/>
              </w:rPr>
              <w:t>其他</w:t>
            </w:r>
          </w:p>
        </w:tc>
        <w:tc>
          <w:tcPr>
            <w:tcW w:w="218" w:type="pct"/>
            <w:vMerge w:val="continue"/>
            <w:tcBorders>
              <w:top w:val="nil"/>
            </w:tcBorders>
          </w:tcPr>
          <w:p>
            <w:pPr>
              <w:rPr>
                <w:rFonts w:ascii="Arial"/>
              </w:rPr>
            </w:pPr>
          </w:p>
        </w:tc>
        <w:tc>
          <w:tcPr>
            <w:tcW w:w="264" w:type="pct"/>
            <w:gridSpan w:val="2"/>
            <w:vMerge w:val="continue"/>
            <w:tcBorders>
              <w:top w:val="nil"/>
            </w:tcBorders>
          </w:tcPr>
          <w:p>
            <w:pPr>
              <w:rPr>
                <w:rFonts w:ascii="Arial"/>
              </w:rPr>
            </w:pPr>
          </w:p>
        </w:tc>
        <w:tc>
          <w:tcPr>
            <w:tcW w:w="311" w:type="pct"/>
            <w:gridSpan w:val="2"/>
            <w:vMerge w:val="continue"/>
            <w:tcBorders>
              <w:top w:val="nil"/>
            </w:tcBorders>
          </w:tcPr>
          <w:p>
            <w:pPr>
              <w:rPr>
                <w:rFonts w:ascii="Arial"/>
              </w:rPr>
            </w:pPr>
          </w:p>
        </w:tc>
        <w:tc>
          <w:tcPr>
            <w:tcW w:w="354" w:type="pct"/>
            <w:vMerge w:val="continue"/>
            <w:tcBorders>
              <w:top w:val="nil"/>
            </w:tcBorders>
          </w:tcPr>
          <w:p>
            <w:pPr>
              <w:rPr>
                <w:rFonts w:ascii="Arial"/>
              </w:rPr>
            </w:pPr>
          </w:p>
        </w:tc>
        <w:tc>
          <w:tcPr>
            <w:tcW w:w="390" w:type="pct"/>
            <w:gridSpan w:val="2"/>
            <w:vAlign w:val="center"/>
          </w:tcPr>
          <w:p>
            <w:pPr>
              <w:pStyle w:val="243"/>
              <w:spacing w:before="58" w:line="219" w:lineRule="auto"/>
              <w:jc w:val="center"/>
            </w:pPr>
            <w:r>
              <w:rPr>
                <w:spacing w:val="-4"/>
              </w:rPr>
              <w:t>层户</w:t>
            </w:r>
          </w:p>
        </w:tc>
        <w:tc>
          <w:tcPr>
            <w:tcW w:w="312" w:type="pct"/>
            <w:vAlign w:val="center"/>
          </w:tcPr>
          <w:p>
            <w:pPr>
              <w:pStyle w:val="243"/>
              <w:spacing w:before="58" w:line="219" w:lineRule="auto"/>
              <w:jc w:val="center"/>
            </w:pPr>
            <w:r>
              <w:rPr>
                <w:spacing w:val="-4"/>
              </w:rPr>
              <w:t>层户</w:t>
            </w:r>
          </w:p>
        </w:tc>
        <w:tc>
          <w:tcPr>
            <w:tcW w:w="272" w:type="pct"/>
            <w:vAlign w:val="center"/>
          </w:tcPr>
          <w:p>
            <w:pPr>
              <w:pStyle w:val="243"/>
              <w:spacing w:before="58" w:line="219" w:lineRule="auto"/>
              <w:jc w:val="center"/>
            </w:pPr>
            <w:r>
              <w:rPr>
                <w:spacing w:val="-4"/>
              </w:rPr>
              <w:t>层户</w:t>
            </w:r>
          </w:p>
        </w:tc>
        <w:tc>
          <w:tcPr>
            <w:tcW w:w="480" w:type="pct"/>
            <w:gridSpan w:val="3"/>
            <w:vMerge w:val="continue"/>
            <w:tcBorders>
              <w:top w:val="nil"/>
            </w:tcBorders>
          </w:tcPr>
          <w:p>
            <w:pPr>
              <w:rPr>
                <w:rFonts w:ascii="Arial"/>
              </w:rPr>
            </w:pPr>
          </w:p>
        </w:tc>
        <w:tc>
          <w:tcPr>
            <w:tcW w:w="344" w:type="pct"/>
            <w:gridSpan w:val="2"/>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泵房内有无计量</w:t>
            </w:r>
          </w:p>
        </w:tc>
        <w:tc>
          <w:tcPr>
            <w:tcW w:w="269" w:type="pct"/>
            <w:vAlign w:val="center"/>
          </w:tcPr>
          <w:p>
            <w:pPr>
              <w:pStyle w:val="243"/>
              <w:spacing w:before="59" w:line="220" w:lineRule="auto"/>
              <w:jc w:val="center"/>
            </w:pPr>
            <w:r>
              <w:rPr>
                <w:rFonts w:hint="eastAsia" w:ascii="Times New Roman" w:hAnsi="Times New Roman" w:cs="Times New Roman"/>
                <w:spacing w:val="-4"/>
                <w:lang w:eastAsia="zh-CN"/>
              </w:rPr>
              <w:t>□</w:t>
            </w:r>
            <w:r>
              <w:rPr>
                <w:spacing w:val="-4"/>
              </w:rPr>
              <w:t>有</w:t>
            </w:r>
            <w:r>
              <w:rPr>
                <w:rFonts w:hint="eastAsia" w:ascii="Times New Roman" w:hAnsi="Times New Roman" w:cs="Times New Roman"/>
                <w:spacing w:val="-4"/>
                <w:lang w:eastAsia="zh-CN"/>
              </w:rPr>
              <w:t>□</w:t>
            </w:r>
            <w:r>
              <w:rPr>
                <w:spacing w:val="-4"/>
              </w:rPr>
              <w:t>无</w:t>
            </w:r>
          </w:p>
        </w:tc>
        <w:tc>
          <w:tcPr>
            <w:tcW w:w="550" w:type="pct"/>
            <w:gridSpan w:val="4"/>
            <w:vMerge w:val="restart"/>
            <w:tcBorders>
              <w:bottom w:val="nil"/>
            </w:tcBorders>
            <w:vAlign w:val="center"/>
          </w:tcPr>
          <w:p>
            <w:pPr>
              <w:pStyle w:val="243"/>
              <w:spacing w:before="58" w:line="219" w:lineRule="auto"/>
              <w:ind w:left="112"/>
              <w:jc w:val="center"/>
            </w:pPr>
            <w:r>
              <w:rPr>
                <w:spacing w:val="-1"/>
                <w14:textOutline w14:w="3263" w14:cap="sq" w14:cmpd="sng" w14:algn="ctr">
                  <w14:solidFill>
                    <w14:srgbClr w14:val="000000"/>
                  </w14:solidFill>
                  <w14:prstDash w14:val="solid"/>
                  <w14:bevel/>
                </w14:textOutline>
              </w:rPr>
              <w:t>环境保持系统</w:t>
            </w:r>
          </w:p>
        </w:tc>
        <w:tc>
          <w:tcPr>
            <w:tcW w:w="288" w:type="pct"/>
            <w:vAlign w:val="center"/>
          </w:tcPr>
          <w:p>
            <w:pPr>
              <w:pStyle w:val="243"/>
              <w:spacing w:before="59" w:line="220" w:lineRule="auto"/>
            </w:pPr>
            <w:r>
              <w:rPr>
                <w:rFonts w:hint="eastAsia" w:ascii="Times New Roman" w:hAnsi="Times New Roman" w:cs="Times New Roman"/>
                <w:spacing w:val="-7"/>
                <w:lang w:eastAsia="zh-CN"/>
              </w:rPr>
              <w:t>□</w:t>
            </w:r>
            <w:r>
              <w:rPr>
                <w:spacing w:val="-7"/>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96" w:type="pct"/>
            <w:vMerge w:val="continue"/>
            <w:tcBorders>
              <w:top w:val="nil"/>
              <w:bottom w:val="nil"/>
            </w:tcBorders>
            <w:textDirection w:val="tbRlV"/>
            <w:vAlign w:val="bottom"/>
          </w:tcPr>
          <w:p>
            <w:pPr>
              <w:rPr>
                <w:rFonts w:ascii="Arial"/>
              </w:rPr>
            </w:pPr>
          </w:p>
        </w:tc>
        <w:tc>
          <w:tcPr>
            <w:tcW w:w="652" w:type="pct"/>
            <w:gridSpan w:val="5"/>
          </w:tcPr>
          <w:p>
            <w:pPr>
              <w:pStyle w:val="243"/>
              <w:spacing w:before="149" w:line="219" w:lineRule="auto"/>
              <w:ind w:left="113"/>
            </w:pPr>
            <w:r>
              <w:rPr>
                <w:spacing w:val="-1"/>
                <w14:textOutline w14:w="3263" w14:cap="sq" w14:cmpd="sng" w14:algn="ctr">
                  <w14:solidFill>
                    <w14:srgbClr w14:val="000000"/>
                  </w14:solidFill>
                  <w14:prstDash w14:val="solid"/>
                  <w14:bevel/>
                </w14:textOutline>
              </w:rPr>
              <w:t>小区泵房前市政压力</w:t>
            </w:r>
          </w:p>
        </w:tc>
        <w:tc>
          <w:tcPr>
            <w:tcW w:w="411" w:type="pct"/>
            <w:gridSpan w:val="2"/>
          </w:tcPr>
          <w:p>
            <w:pPr>
              <w:rPr>
                <w:rFonts w:ascii="Arial"/>
              </w:rPr>
            </w:pPr>
          </w:p>
        </w:tc>
        <w:tc>
          <w:tcPr>
            <w:tcW w:w="264" w:type="pct"/>
            <w:gridSpan w:val="2"/>
            <w:vMerge w:val="restart"/>
            <w:tcBorders>
              <w:bottom w:val="nil"/>
            </w:tcBorders>
            <w:vAlign w:val="center"/>
          </w:tcPr>
          <w:p>
            <w:pPr>
              <w:pStyle w:val="243"/>
              <w:spacing w:before="59" w:line="468" w:lineRule="exact"/>
              <w:ind w:left="118"/>
              <w:jc w:val="center"/>
            </w:pPr>
            <w:r>
              <w:rPr>
                <w:spacing w:val="-3"/>
                <w:position w:val="22"/>
                <w14:textOutline w14:w="3263" w14:cap="sq" w14:cmpd="sng" w14:algn="ctr">
                  <w14:solidFill>
                    <w14:srgbClr w14:val="000000"/>
                  </w14:solidFill>
                  <w14:prstDash w14:val="solid"/>
                  <w14:bevel/>
                </w14:textOutline>
              </w:rPr>
              <w:t>管道是否</w:t>
            </w:r>
          </w:p>
          <w:p>
            <w:pPr>
              <w:pStyle w:val="243"/>
              <w:spacing w:line="220" w:lineRule="auto"/>
              <w:ind w:left="117"/>
              <w:jc w:val="center"/>
            </w:pPr>
            <w:r>
              <w:rPr>
                <w:spacing w:val="-3"/>
                <w14:textOutline w14:w="3263" w14:cap="sq" w14:cmpd="sng" w14:algn="ctr">
                  <w14:solidFill>
                    <w14:srgbClr w14:val="000000"/>
                  </w14:solidFill>
                  <w14:prstDash w14:val="solid"/>
                  <w14:bevel/>
                </w14:textOutline>
              </w:rPr>
              <w:t>安装止回</w:t>
            </w:r>
          </w:p>
          <w:p>
            <w:pPr>
              <w:pStyle w:val="243"/>
              <w:spacing w:before="253" w:line="221" w:lineRule="auto"/>
              <w:ind w:left="130"/>
              <w:jc w:val="center"/>
            </w:pPr>
            <w:r>
              <w:rPr>
                <w14:textOutline w14:w="3263" w14:cap="sq" w14:cmpd="sng" w14:algn="ctr">
                  <w14:solidFill>
                    <w14:srgbClr w14:val="000000"/>
                  </w14:solidFill>
                  <w14:prstDash w14:val="solid"/>
                  <w14:bevel/>
                </w14:textOutline>
              </w:rPr>
              <w:t>阀</w:t>
            </w:r>
          </w:p>
        </w:tc>
        <w:tc>
          <w:tcPr>
            <w:tcW w:w="311" w:type="pct"/>
            <w:gridSpan w:val="2"/>
          </w:tcPr>
          <w:p>
            <w:pPr>
              <w:pStyle w:val="243"/>
              <w:spacing w:before="149" w:line="219" w:lineRule="auto"/>
              <w:ind w:left="119"/>
            </w:pPr>
            <w:r>
              <w:rPr>
                <w:rFonts w:hint="eastAsia" w:ascii="Times New Roman" w:hAnsi="Times New Roman" w:cs="Times New Roman"/>
                <w:spacing w:val="-5"/>
                <w:lang w:eastAsia="zh-CN"/>
              </w:rPr>
              <w:t>□</w:t>
            </w:r>
            <w:r>
              <w:rPr>
                <w:spacing w:val="-5"/>
              </w:rPr>
              <w:t>泵前</w:t>
            </w:r>
          </w:p>
        </w:tc>
        <w:tc>
          <w:tcPr>
            <w:tcW w:w="1056" w:type="pct"/>
            <w:gridSpan w:val="4"/>
            <w:vMerge w:val="restart"/>
            <w:tcBorders>
              <w:bottom w:val="nil"/>
            </w:tcBorders>
            <w:vAlign w:val="center"/>
          </w:tcPr>
          <w:p>
            <w:pPr>
              <w:pStyle w:val="243"/>
              <w:spacing w:before="58" w:line="219" w:lineRule="auto"/>
              <w:jc w:val="center"/>
            </w:pPr>
            <w:r>
              <w:rPr>
                <w:spacing w:val="-1"/>
                <w14:textOutline w14:w="3263" w14:cap="sq" w14:cmpd="sng" w14:algn="ctr">
                  <w14:solidFill>
                    <w14:srgbClr w14:val="000000"/>
                  </w14:solidFill>
                  <w14:prstDash w14:val="solid"/>
                  <w14:bevel/>
                </w14:textOutline>
              </w:rPr>
              <w:t>水质在线监测系统</w:t>
            </w:r>
          </w:p>
        </w:tc>
        <w:tc>
          <w:tcPr>
            <w:tcW w:w="753" w:type="pct"/>
            <w:gridSpan w:val="4"/>
          </w:tcPr>
          <w:p>
            <w:pPr>
              <w:pStyle w:val="243"/>
              <w:spacing w:before="149" w:line="220" w:lineRule="auto"/>
              <w:ind w:left="120"/>
            </w:pPr>
            <w:r>
              <w:rPr>
                <w:rFonts w:ascii="Times New Roman" w:hAnsi="Times New Roman" w:eastAsia="Times New Roman" w:cs="Times New Roman"/>
                <w:spacing w:val="-6"/>
              </w:rPr>
              <w:t>□</w:t>
            </w:r>
            <w:r>
              <w:rPr>
                <w:spacing w:val="-6"/>
              </w:rPr>
              <w:t>无</w:t>
            </w:r>
            <w:r>
              <w:rPr>
                <w:spacing w:val="4"/>
              </w:rPr>
              <w:t xml:space="preserve">   </w:t>
            </w:r>
            <w:r>
              <w:rPr>
                <w:rFonts w:ascii="Times New Roman" w:hAnsi="Times New Roman" w:eastAsia="Times New Roman" w:cs="Times New Roman"/>
                <w:spacing w:val="-6"/>
              </w:rPr>
              <w:t>□</w:t>
            </w:r>
            <w:r>
              <w:rPr>
                <w:spacing w:val="-6"/>
              </w:rPr>
              <w:t>其他</w:t>
            </w:r>
          </w:p>
        </w:tc>
        <w:tc>
          <w:tcPr>
            <w:tcW w:w="344" w:type="pct"/>
            <w:gridSpan w:val="2"/>
            <w:vMerge w:val="restart"/>
            <w:tcBorders>
              <w:bottom w:val="nil"/>
            </w:tcBorders>
            <w:vAlign w:val="center"/>
          </w:tcPr>
          <w:p>
            <w:pPr>
              <w:pStyle w:val="243"/>
              <w:spacing w:before="58" w:line="219" w:lineRule="auto"/>
              <w:jc w:val="center"/>
              <w:rPr>
                <w:spacing w:val="-2"/>
                <w:lang w:eastAsia="zh-CN"/>
                <w14:textOutline w14:w="3263" w14:cap="sq" w14:cmpd="sng" w14:algn="ctr">
                  <w14:solidFill>
                    <w14:srgbClr w14:val="000000"/>
                  </w14:solidFill>
                  <w14:prstDash w14:val="solid"/>
                  <w14:bevel/>
                </w14:textOutline>
              </w:rPr>
            </w:pPr>
            <w:r>
              <w:rPr>
                <w:rFonts w:hint="eastAsia"/>
                <w:spacing w:val="-2"/>
                <w:lang w:eastAsia="zh-CN"/>
                <w14:textOutline w14:w="3263" w14:cap="sq" w14:cmpd="sng" w14:algn="ctr">
                  <w14:solidFill>
                    <w14:srgbClr w14:val="000000"/>
                  </w14:solidFill>
                  <w14:prstDash w14:val="solid"/>
                  <w14:bevel/>
                </w14:textOutline>
              </w:rPr>
              <w:t>视频安防系统</w:t>
            </w:r>
          </w:p>
        </w:tc>
        <w:tc>
          <w:tcPr>
            <w:tcW w:w="269" w:type="pct"/>
          </w:tcPr>
          <w:p>
            <w:pPr>
              <w:pStyle w:val="243"/>
              <w:spacing w:before="149" w:line="220" w:lineRule="auto"/>
              <w:ind w:left="120"/>
            </w:pPr>
            <w:r>
              <w:rPr>
                <w:rFonts w:hint="eastAsia" w:ascii="Times New Roman" w:hAnsi="Times New Roman" w:cs="Times New Roman"/>
                <w:spacing w:val="-7"/>
                <w:lang w:eastAsia="zh-CN"/>
              </w:rPr>
              <w:t>□</w:t>
            </w:r>
            <w:r>
              <w:rPr>
                <w:spacing w:val="-7"/>
              </w:rPr>
              <w:t>无</w:t>
            </w:r>
          </w:p>
        </w:tc>
        <w:tc>
          <w:tcPr>
            <w:tcW w:w="550" w:type="pct"/>
            <w:gridSpan w:val="4"/>
            <w:vMerge w:val="continue"/>
            <w:tcBorders>
              <w:top w:val="nil"/>
              <w:bottom w:val="nil"/>
            </w:tcBorders>
          </w:tcPr>
          <w:p>
            <w:pPr>
              <w:rPr>
                <w:rFonts w:ascii="Arial"/>
              </w:rPr>
            </w:pPr>
          </w:p>
        </w:tc>
        <w:tc>
          <w:tcPr>
            <w:tcW w:w="288" w:type="pct"/>
          </w:tcPr>
          <w:p>
            <w:pPr>
              <w:pStyle w:val="243"/>
              <w:spacing w:before="149" w:line="220" w:lineRule="auto"/>
            </w:pPr>
            <w:r>
              <w:rPr>
                <w:rFonts w:hint="eastAsia" w:ascii="Times New Roman" w:hAnsi="Times New Roman" w:cs="Times New Roman"/>
                <w:spacing w:val="-5"/>
                <w:lang w:eastAsia="zh-CN"/>
              </w:rPr>
              <w:t>□</w:t>
            </w:r>
            <w:r>
              <w:rPr>
                <w:spacing w:val="-5"/>
              </w:rPr>
              <w:t>温度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6" w:type="pct"/>
            <w:vMerge w:val="continue"/>
            <w:tcBorders>
              <w:top w:val="nil"/>
              <w:bottom w:val="nil"/>
            </w:tcBorders>
            <w:textDirection w:val="tbRlV"/>
            <w:vAlign w:val="bottom"/>
          </w:tcPr>
          <w:p>
            <w:pPr>
              <w:rPr>
                <w:rFonts w:ascii="Arial"/>
              </w:rPr>
            </w:pPr>
          </w:p>
        </w:tc>
        <w:tc>
          <w:tcPr>
            <w:tcW w:w="652" w:type="pct"/>
            <w:gridSpan w:val="5"/>
          </w:tcPr>
          <w:p>
            <w:pPr>
              <w:pStyle w:val="243"/>
              <w:spacing w:before="148" w:line="219" w:lineRule="auto"/>
              <w:ind w:left="110"/>
              <w:rPr>
                <w:lang w:eastAsia="zh-CN"/>
              </w:rPr>
            </w:pPr>
            <w:r>
              <w:rPr>
                <w:spacing w:val="-1"/>
                <w:lang w:eastAsia="zh-CN"/>
                <w14:textOutline w14:w="3263" w14:cap="sq" w14:cmpd="sng" w14:algn="ctr">
                  <w14:solidFill>
                    <w14:srgbClr w14:val="000000"/>
                  </w14:solidFill>
                  <w14:prstDash w14:val="solid"/>
                  <w14:bevel/>
                </w14:textOutline>
              </w:rPr>
              <w:t>符合叠压供水技术要求</w:t>
            </w:r>
          </w:p>
        </w:tc>
        <w:tc>
          <w:tcPr>
            <w:tcW w:w="411" w:type="pct"/>
            <w:gridSpan w:val="2"/>
          </w:tcPr>
          <w:p>
            <w:pPr>
              <w:pStyle w:val="243"/>
              <w:spacing w:before="148" w:line="220" w:lineRule="auto"/>
              <w:ind w:left="115"/>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64" w:type="pct"/>
            <w:gridSpan w:val="2"/>
            <w:vMerge w:val="continue"/>
            <w:tcBorders>
              <w:top w:val="nil"/>
              <w:bottom w:val="nil"/>
            </w:tcBorders>
          </w:tcPr>
          <w:p>
            <w:pPr>
              <w:rPr>
                <w:rFonts w:ascii="Arial"/>
              </w:rPr>
            </w:pPr>
          </w:p>
        </w:tc>
        <w:tc>
          <w:tcPr>
            <w:tcW w:w="311" w:type="pct"/>
            <w:gridSpan w:val="2"/>
          </w:tcPr>
          <w:p>
            <w:pPr>
              <w:pStyle w:val="243"/>
              <w:spacing w:before="148" w:line="219" w:lineRule="auto"/>
              <w:ind w:left="119"/>
            </w:pPr>
            <w:r>
              <w:rPr>
                <w:rFonts w:hint="eastAsia" w:ascii="Times New Roman" w:hAnsi="Times New Roman" w:cs="Times New Roman"/>
                <w:spacing w:val="-5"/>
                <w:lang w:eastAsia="zh-CN"/>
              </w:rPr>
              <w:t>□</w:t>
            </w:r>
            <w:r>
              <w:rPr>
                <w:spacing w:val="-5"/>
              </w:rPr>
              <w:t>泵后</w:t>
            </w:r>
          </w:p>
        </w:tc>
        <w:tc>
          <w:tcPr>
            <w:tcW w:w="1056" w:type="pct"/>
            <w:gridSpan w:val="4"/>
            <w:vMerge w:val="continue"/>
            <w:tcBorders>
              <w:top w:val="nil"/>
              <w:bottom w:val="nil"/>
            </w:tcBorders>
          </w:tcPr>
          <w:p>
            <w:pPr>
              <w:rPr>
                <w:rFonts w:ascii="Arial"/>
              </w:rPr>
            </w:pPr>
          </w:p>
        </w:tc>
        <w:tc>
          <w:tcPr>
            <w:tcW w:w="753" w:type="pct"/>
            <w:gridSpan w:val="4"/>
          </w:tcPr>
          <w:p>
            <w:pPr>
              <w:pStyle w:val="243"/>
              <w:spacing w:before="148" w:line="220" w:lineRule="auto"/>
              <w:ind w:left="120"/>
            </w:pPr>
            <w:r>
              <w:rPr>
                <w:rFonts w:ascii="Times New Roman" w:hAnsi="Times New Roman" w:eastAsia="Times New Roman" w:cs="Times New Roman"/>
                <w:spacing w:val="-5"/>
              </w:rPr>
              <w:t>□PH</w:t>
            </w:r>
            <w:r>
              <w:rPr>
                <w:rFonts w:ascii="Times New Roman" w:hAnsi="Times New Roman" w:eastAsia="Times New Roman" w:cs="Times New Roman"/>
                <w:spacing w:val="2"/>
              </w:rPr>
              <w:t xml:space="preserve">      </w:t>
            </w:r>
            <w:r>
              <w:rPr>
                <w:rFonts w:ascii="Times New Roman" w:hAnsi="Times New Roman" w:eastAsia="Times New Roman" w:cs="Times New Roman"/>
                <w:spacing w:val="-5"/>
              </w:rPr>
              <w:t>□</w:t>
            </w:r>
            <w:r>
              <w:rPr>
                <w:spacing w:val="-5"/>
              </w:rPr>
              <w:t>浊度</w:t>
            </w:r>
          </w:p>
        </w:tc>
        <w:tc>
          <w:tcPr>
            <w:tcW w:w="344" w:type="pct"/>
            <w:gridSpan w:val="2"/>
            <w:vMerge w:val="continue"/>
            <w:tcBorders>
              <w:top w:val="nil"/>
              <w:bottom w:val="nil"/>
            </w:tcBorders>
          </w:tcPr>
          <w:p>
            <w:pPr>
              <w:rPr>
                <w:rFonts w:ascii="Arial"/>
              </w:rPr>
            </w:pPr>
          </w:p>
        </w:tc>
        <w:tc>
          <w:tcPr>
            <w:tcW w:w="269" w:type="pct"/>
          </w:tcPr>
          <w:p>
            <w:pPr>
              <w:pStyle w:val="243"/>
              <w:spacing w:before="148" w:line="219" w:lineRule="auto"/>
              <w:ind w:left="120"/>
            </w:pPr>
            <w:r>
              <w:rPr>
                <w:rFonts w:hint="eastAsia" w:ascii="Times New Roman" w:hAnsi="Times New Roman" w:cs="Times New Roman"/>
                <w:spacing w:val="-14"/>
                <w:lang w:eastAsia="zh-CN"/>
              </w:rPr>
              <w:t>□</w:t>
            </w:r>
            <w:r>
              <w:rPr>
                <w:rFonts w:ascii="Times New Roman" w:hAnsi="Times New Roman" w:eastAsia="Times New Roman" w:cs="Times New Roman"/>
                <w:spacing w:val="-18"/>
              </w:rPr>
              <w:t xml:space="preserve"> </w:t>
            </w:r>
            <w:r>
              <w:rPr>
                <w:spacing w:val="-14"/>
              </w:rPr>
              <w:t>门禁</w:t>
            </w:r>
          </w:p>
        </w:tc>
        <w:tc>
          <w:tcPr>
            <w:tcW w:w="550" w:type="pct"/>
            <w:gridSpan w:val="4"/>
            <w:vMerge w:val="continue"/>
            <w:tcBorders>
              <w:top w:val="nil"/>
              <w:bottom w:val="nil"/>
            </w:tcBorders>
          </w:tcPr>
          <w:p>
            <w:pPr>
              <w:rPr>
                <w:rFonts w:ascii="Arial"/>
              </w:rPr>
            </w:pPr>
          </w:p>
        </w:tc>
        <w:tc>
          <w:tcPr>
            <w:tcW w:w="288" w:type="pct"/>
          </w:tcPr>
          <w:p>
            <w:pPr>
              <w:pStyle w:val="243"/>
              <w:spacing w:before="148" w:line="220" w:lineRule="auto"/>
            </w:pPr>
            <w:r>
              <w:rPr>
                <w:rFonts w:hint="eastAsia" w:ascii="Times New Roman" w:hAnsi="Times New Roman" w:cs="Times New Roman"/>
                <w:spacing w:val="-5"/>
                <w:lang w:eastAsia="zh-CN"/>
              </w:rPr>
              <w:t>□</w:t>
            </w:r>
            <w:r>
              <w:rPr>
                <w:spacing w:val="-5"/>
              </w:rPr>
              <w:t>湿度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96" w:type="pct"/>
            <w:vMerge w:val="continue"/>
            <w:tcBorders>
              <w:top w:val="nil"/>
              <w:bottom w:val="nil"/>
            </w:tcBorders>
            <w:textDirection w:val="tbRlV"/>
            <w:vAlign w:val="bottom"/>
          </w:tcPr>
          <w:p>
            <w:pPr>
              <w:rPr>
                <w:rFonts w:ascii="Arial"/>
              </w:rPr>
            </w:pPr>
          </w:p>
        </w:tc>
        <w:tc>
          <w:tcPr>
            <w:tcW w:w="652" w:type="pct"/>
            <w:gridSpan w:val="5"/>
          </w:tcPr>
          <w:p>
            <w:pPr>
              <w:pStyle w:val="243"/>
              <w:spacing w:before="147" w:line="219" w:lineRule="auto"/>
              <w:ind w:left="109"/>
            </w:pPr>
            <w:r>
              <w:rPr>
                <w:spacing w:val="-1"/>
                <w14:textOutline w14:w="3263" w14:cap="sq" w14:cmpd="sng" w14:algn="ctr">
                  <w14:solidFill>
                    <w14:srgbClr w14:val="000000"/>
                  </w14:solidFill>
                  <w14:prstDash w14:val="solid"/>
                  <w14:bevel/>
                </w14:textOutline>
              </w:rPr>
              <w:t>泵房管材材质</w:t>
            </w:r>
          </w:p>
        </w:tc>
        <w:tc>
          <w:tcPr>
            <w:tcW w:w="411" w:type="pct"/>
            <w:gridSpan w:val="2"/>
          </w:tcPr>
          <w:p>
            <w:pPr>
              <w:pStyle w:val="243"/>
              <w:spacing w:before="115" w:line="242" w:lineRule="exact"/>
              <w:ind w:left="115"/>
            </w:pPr>
            <w:r>
              <w:rPr>
                <w:rFonts w:hint="eastAsia" w:ascii="Times New Roman" w:hAnsi="Times New Roman" w:cs="Times New Roman"/>
                <w:spacing w:val="-2"/>
                <w:lang w:eastAsia="zh-CN"/>
              </w:rPr>
              <w:t>□</w:t>
            </w:r>
            <w:r>
              <w:rPr>
                <w:spacing w:val="-2"/>
              </w:rPr>
              <w:t>不锈钢</w:t>
            </w:r>
            <w:r>
              <w:rPr>
                <w:rFonts w:hint="eastAsia" w:ascii="Times New Roman" w:hAnsi="Times New Roman" w:cs="Times New Roman"/>
                <w:spacing w:val="-2"/>
                <w:lang w:eastAsia="zh-CN"/>
              </w:rPr>
              <w:t>□</w:t>
            </w:r>
            <w:r>
              <w:rPr>
                <w:spacing w:val="-2"/>
              </w:rPr>
              <w:t>其它</w:t>
            </w:r>
          </w:p>
        </w:tc>
        <w:tc>
          <w:tcPr>
            <w:tcW w:w="264" w:type="pct"/>
            <w:gridSpan w:val="2"/>
            <w:vMerge w:val="continue"/>
            <w:tcBorders>
              <w:top w:val="nil"/>
              <w:bottom w:val="nil"/>
            </w:tcBorders>
          </w:tcPr>
          <w:p>
            <w:pPr>
              <w:rPr>
                <w:rFonts w:ascii="Arial"/>
              </w:rPr>
            </w:pPr>
          </w:p>
        </w:tc>
        <w:tc>
          <w:tcPr>
            <w:tcW w:w="311" w:type="pct"/>
            <w:gridSpan w:val="2"/>
          </w:tcPr>
          <w:p>
            <w:pPr>
              <w:pStyle w:val="243"/>
              <w:spacing w:before="148" w:line="220" w:lineRule="auto"/>
              <w:ind w:left="119"/>
            </w:pPr>
            <w:r>
              <w:rPr>
                <w:rFonts w:hint="eastAsia" w:ascii="Times New Roman" w:hAnsi="Times New Roman" w:cs="Times New Roman"/>
                <w:spacing w:val="-7"/>
                <w:lang w:eastAsia="zh-CN"/>
              </w:rPr>
              <w:t>□</w:t>
            </w:r>
            <w:r>
              <w:rPr>
                <w:spacing w:val="-7"/>
              </w:rPr>
              <w:t>无</w:t>
            </w:r>
          </w:p>
        </w:tc>
        <w:tc>
          <w:tcPr>
            <w:tcW w:w="1056" w:type="pct"/>
            <w:gridSpan w:val="4"/>
            <w:vMerge w:val="continue"/>
            <w:tcBorders>
              <w:top w:val="nil"/>
              <w:bottom w:val="nil"/>
            </w:tcBorders>
          </w:tcPr>
          <w:p>
            <w:pPr>
              <w:rPr>
                <w:rFonts w:ascii="Arial"/>
              </w:rPr>
            </w:pPr>
          </w:p>
        </w:tc>
        <w:tc>
          <w:tcPr>
            <w:tcW w:w="753" w:type="pct"/>
            <w:gridSpan w:val="4"/>
          </w:tcPr>
          <w:p>
            <w:pPr>
              <w:pStyle w:val="243"/>
              <w:spacing w:before="148" w:line="219" w:lineRule="auto"/>
              <w:ind w:left="120"/>
            </w:pPr>
            <w:r>
              <w:rPr>
                <w:rFonts w:ascii="Times New Roman" w:hAnsi="Times New Roman" w:eastAsia="Times New Roman" w:cs="Times New Roman"/>
                <w:spacing w:val="-8"/>
              </w:rPr>
              <w:t>□</w:t>
            </w:r>
            <w:r>
              <w:rPr>
                <w:spacing w:val="-8"/>
              </w:rPr>
              <w:t>余氯</w:t>
            </w:r>
            <w:r>
              <w:rPr>
                <w:spacing w:val="6"/>
              </w:rPr>
              <w:t xml:space="preserve">  </w:t>
            </w:r>
            <w:r>
              <w:rPr>
                <w:rFonts w:ascii="Times New Roman" w:hAnsi="Times New Roman" w:eastAsia="Times New Roman" w:cs="Times New Roman"/>
                <w:spacing w:val="-8"/>
              </w:rPr>
              <w:t>□</w:t>
            </w:r>
            <w:r>
              <w:rPr>
                <w:rFonts w:ascii="Times New Roman" w:hAnsi="Times New Roman" w:eastAsia="Times New Roman" w:cs="Times New Roman"/>
                <w:spacing w:val="-17"/>
              </w:rPr>
              <w:t xml:space="preserve"> </w:t>
            </w:r>
            <w:r>
              <w:rPr>
                <w:spacing w:val="-8"/>
              </w:rPr>
              <w:t>电导率</w:t>
            </w:r>
          </w:p>
        </w:tc>
        <w:tc>
          <w:tcPr>
            <w:tcW w:w="344" w:type="pct"/>
            <w:gridSpan w:val="2"/>
            <w:vMerge w:val="continue"/>
            <w:tcBorders>
              <w:top w:val="nil"/>
              <w:bottom w:val="nil"/>
            </w:tcBorders>
          </w:tcPr>
          <w:p>
            <w:pPr>
              <w:rPr>
                <w:rFonts w:ascii="Arial"/>
              </w:rPr>
            </w:pPr>
          </w:p>
        </w:tc>
        <w:tc>
          <w:tcPr>
            <w:tcW w:w="269" w:type="pct"/>
          </w:tcPr>
          <w:p>
            <w:pPr>
              <w:pStyle w:val="243"/>
              <w:spacing w:before="148" w:line="220" w:lineRule="auto"/>
              <w:ind w:left="120"/>
            </w:pPr>
            <w:r>
              <w:rPr>
                <w:rFonts w:hint="eastAsia" w:ascii="Times New Roman" w:hAnsi="Times New Roman" w:cs="Times New Roman"/>
                <w:spacing w:val="-3"/>
                <w:lang w:eastAsia="zh-CN"/>
              </w:rPr>
              <w:t>□</w:t>
            </w:r>
            <w:r>
              <w:rPr>
                <w:spacing w:val="-3"/>
              </w:rPr>
              <w:t>视频监控</w:t>
            </w:r>
          </w:p>
        </w:tc>
        <w:tc>
          <w:tcPr>
            <w:tcW w:w="550" w:type="pct"/>
            <w:gridSpan w:val="4"/>
            <w:vMerge w:val="continue"/>
            <w:tcBorders>
              <w:top w:val="nil"/>
              <w:bottom w:val="nil"/>
            </w:tcBorders>
          </w:tcPr>
          <w:p>
            <w:pPr>
              <w:rPr>
                <w:rFonts w:ascii="Arial"/>
              </w:rPr>
            </w:pPr>
          </w:p>
        </w:tc>
        <w:tc>
          <w:tcPr>
            <w:tcW w:w="288" w:type="pct"/>
          </w:tcPr>
          <w:p>
            <w:pPr>
              <w:pStyle w:val="243"/>
              <w:spacing w:before="148" w:line="219" w:lineRule="auto"/>
            </w:pPr>
            <w:r>
              <w:rPr>
                <w:rFonts w:hint="eastAsia" w:ascii="Times New Roman" w:hAnsi="Times New Roman" w:cs="Times New Roman"/>
                <w:spacing w:val="-7"/>
                <w:lang w:eastAsia="zh-CN"/>
              </w:rPr>
              <w:t>□</w:t>
            </w:r>
            <w:r>
              <w:rPr>
                <w:rFonts w:ascii="Times New Roman" w:hAnsi="Times New Roman" w:eastAsia="Times New Roman" w:cs="Times New Roman"/>
                <w:spacing w:val="-25"/>
              </w:rPr>
              <w:t xml:space="preserve"> </w:t>
            </w:r>
            <w:r>
              <w:rPr>
                <w:spacing w:val="-7"/>
              </w:rPr>
              <w:t>防洪排涝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96" w:type="pct"/>
            <w:vMerge w:val="continue"/>
            <w:tcBorders>
              <w:top w:val="nil"/>
            </w:tcBorders>
            <w:textDirection w:val="tbRlV"/>
            <w:vAlign w:val="bottom"/>
          </w:tcPr>
          <w:p>
            <w:pPr>
              <w:rPr>
                <w:rFonts w:ascii="Arial"/>
              </w:rPr>
            </w:pPr>
          </w:p>
        </w:tc>
        <w:tc>
          <w:tcPr>
            <w:tcW w:w="652" w:type="pct"/>
            <w:gridSpan w:val="5"/>
          </w:tcPr>
          <w:p>
            <w:pPr>
              <w:pStyle w:val="243"/>
              <w:spacing w:before="147" w:line="212" w:lineRule="auto"/>
              <w:ind w:left="111"/>
              <w:rPr>
                <w:rFonts w:ascii="Times New Roman" w:hAnsi="Times New Roman" w:eastAsia="Times New Roman" w:cs="Times New Roman"/>
                <w:lang w:eastAsia="zh-CN"/>
              </w:rPr>
            </w:pPr>
            <w:r>
              <w:rPr>
                <w:spacing w:val="-1"/>
                <w:lang w:eastAsia="zh-CN"/>
                <w14:textOutline w14:w="3263" w14:cap="sq" w14:cmpd="sng" w14:algn="ctr">
                  <w14:solidFill>
                    <w14:srgbClr w14:val="000000"/>
                  </w14:solidFill>
                  <w14:prstDash w14:val="solid"/>
                  <w14:bevel/>
                </w14:textOutline>
              </w:rPr>
              <w:t>设施有无自行节能改造</w:t>
            </w:r>
            <w:r>
              <w:rPr>
                <w:rFonts w:ascii="Times New Roman" w:hAnsi="Times New Roman" w:eastAsia="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管道泵式</w:t>
            </w:r>
            <w:r>
              <w:rPr>
                <w:rFonts w:ascii="Times New Roman" w:hAnsi="Times New Roman" w:eastAsia="Times New Roman" w:cs="Times New Roman"/>
                <w:b/>
                <w:bCs/>
                <w:spacing w:val="-1"/>
                <w:lang w:eastAsia="zh-CN"/>
              </w:rPr>
              <w:t>)</w:t>
            </w:r>
          </w:p>
        </w:tc>
        <w:tc>
          <w:tcPr>
            <w:tcW w:w="411" w:type="pct"/>
            <w:gridSpan w:val="2"/>
          </w:tcPr>
          <w:p>
            <w:pPr>
              <w:pStyle w:val="243"/>
              <w:spacing w:before="115" w:line="242" w:lineRule="exact"/>
              <w:ind w:left="110"/>
            </w:pPr>
            <w:r>
              <w:rPr>
                <w:rFonts w:hint="eastAsia" w:ascii="Times New Roman" w:hAnsi="Times New Roman" w:cs="Times New Roman"/>
                <w:spacing w:val="-4"/>
                <w:lang w:eastAsia="zh-CN"/>
              </w:rPr>
              <w:t>□</w:t>
            </w:r>
            <w:r>
              <w:rPr>
                <w:spacing w:val="-4"/>
              </w:rPr>
              <w:t>是</w:t>
            </w:r>
            <w:r>
              <w:rPr>
                <w:spacing w:val="6"/>
              </w:rPr>
              <w:t xml:space="preserve">  </w:t>
            </w:r>
            <w:r>
              <w:rPr>
                <w:rFonts w:hint="eastAsia" w:ascii="Times New Roman" w:hAnsi="Times New Roman" w:cs="Times New Roman"/>
                <w:spacing w:val="-4"/>
                <w:lang w:eastAsia="zh-CN"/>
              </w:rPr>
              <w:t>□</w:t>
            </w:r>
            <w:r>
              <w:rPr>
                <w:spacing w:val="-4"/>
              </w:rPr>
              <w:t>否</w:t>
            </w:r>
          </w:p>
        </w:tc>
        <w:tc>
          <w:tcPr>
            <w:tcW w:w="264" w:type="pct"/>
            <w:gridSpan w:val="2"/>
            <w:vMerge w:val="continue"/>
            <w:tcBorders>
              <w:top w:val="nil"/>
            </w:tcBorders>
          </w:tcPr>
          <w:p>
            <w:pPr>
              <w:rPr>
                <w:rFonts w:ascii="Arial"/>
              </w:rPr>
            </w:pPr>
          </w:p>
        </w:tc>
        <w:tc>
          <w:tcPr>
            <w:tcW w:w="311" w:type="pct"/>
            <w:gridSpan w:val="2"/>
          </w:tcPr>
          <w:p>
            <w:pPr>
              <w:pStyle w:val="243"/>
              <w:spacing w:before="147" w:line="221" w:lineRule="auto"/>
              <w:ind w:left="119"/>
            </w:pPr>
            <w:r>
              <w:rPr>
                <w:rFonts w:hint="eastAsia" w:ascii="Times New Roman" w:hAnsi="Times New Roman" w:cs="Times New Roman"/>
                <w:spacing w:val="-4"/>
                <w:lang w:eastAsia="zh-CN"/>
              </w:rPr>
              <w:t>□</w:t>
            </w:r>
            <w:r>
              <w:rPr>
                <w:spacing w:val="-4"/>
              </w:rPr>
              <w:t>其它：</w:t>
            </w:r>
          </w:p>
        </w:tc>
        <w:tc>
          <w:tcPr>
            <w:tcW w:w="1056" w:type="pct"/>
            <w:gridSpan w:val="4"/>
            <w:vMerge w:val="continue"/>
            <w:tcBorders>
              <w:top w:val="nil"/>
            </w:tcBorders>
          </w:tcPr>
          <w:p>
            <w:pPr>
              <w:rPr>
                <w:rFonts w:ascii="Arial"/>
              </w:rPr>
            </w:pPr>
          </w:p>
        </w:tc>
        <w:tc>
          <w:tcPr>
            <w:tcW w:w="753" w:type="pct"/>
            <w:gridSpan w:val="4"/>
          </w:tcPr>
          <w:p>
            <w:pPr>
              <w:pStyle w:val="243"/>
              <w:spacing w:before="148" w:line="219" w:lineRule="auto"/>
              <w:ind w:left="129"/>
            </w:pPr>
            <w:r>
              <w:rPr>
                <w:spacing w:val="-8"/>
              </w:rPr>
              <w:t>品牌：</w:t>
            </w:r>
          </w:p>
        </w:tc>
        <w:tc>
          <w:tcPr>
            <w:tcW w:w="344" w:type="pct"/>
            <w:gridSpan w:val="2"/>
            <w:vMerge w:val="continue"/>
            <w:tcBorders>
              <w:top w:val="nil"/>
            </w:tcBorders>
          </w:tcPr>
          <w:p>
            <w:pPr>
              <w:rPr>
                <w:rFonts w:ascii="Arial"/>
              </w:rPr>
            </w:pPr>
          </w:p>
        </w:tc>
        <w:tc>
          <w:tcPr>
            <w:tcW w:w="269" w:type="pct"/>
          </w:tcPr>
          <w:p>
            <w:pPr>
              <w:pStyle w:val="243"/>
              <w:spacing w:before="148" w:line="219" w:lineRule="auto"/>
              <w:ind w:left="129"/>
            </w:pPr>
            <w:r>
              <w:rPr>
                <w:spacing w:val="-8"/>
              </w:rPr>
              <w:t>品牌：</w:t>
            </w:r>
          </w:p>
        </w:tc>
        <w:tc>
          <w:tcPr>
            <w:tcW w:w="550" w:type="pct"/>
            <w:gridSpan w:val="4"/>
            <w:vMerge w:val="continue"/>
            <w:tcBorders>
              <w:top w:val="nil"/>
            </w:tcBorders>
          </w:tcPr>
          <w:p>
            <w:pPr>
              <w:rPr>
                <w:rFonts w:ascii="Arial"/>
              </w:rPr>
            </w:pPr>
          </w:p>
        </w:tc>
        <w:tc>
          <w:tcPr>
            <w:tcW w:w="288" w:type="pct"/>
          </w:tcPr>
          <w:p>
            <w:pPr>
              <w:pStyle w:val="243"/>
              <w:spacing w:before="148" w:line="219" w:lineRule="auto"/>
            </w:pPr>
            <w:r>
              <w:rPr>
                <w:rFonts w:hint="eastAsia" w:ascii="Times New Roman" w:hAnsi="Times New Roman" w:cs="Times New Roman"/>
                <w:spacing w:val="-7"/>
                <w:lang w:eastAsia="zh-CN"/>
              </w:rPr>
              <w:t>□</w:t>
            </w:r>
            <w:r>
              <w:rPr>
                <w:rFonts w:ascii="Times New Roman" w:hAnsi="Times New Roman" w:eastAsia="Times New Roman" w:cs="Times New Roman"/>
                <w:spacing w:val="-25"/>
              </w:rPr>
              <w:t xml:space="preserve"> </w:t>
            </w:r>
            <w:r>
              <w:rPr>
                <w:spacing w:val="-7"/>
              </w:rPr>
              <w:t>防火烟感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96" w:type="pct"/>
            <w:vMerge w:val="restart"/>
            <w:tcBorders>
              <w:bottom w:val="nil"/>
            </w:tcBorders>
            <w:textDirection w:val="tbRlV"/>
            <w:vAlign w:val="bottom"/>
          </w:tcPr>
          <w:p>
            <w:pPr>
              <w:pStyle w:val="243"/>
              <w:spacing w:before="135" w:line="207" w:lineRule="auto"/>
              <w:ind w:left="1114"/>
            </w:pPr>
            <w:r>
              <w:rPr>
                <w:spacing w:val="-1"/>
                <w14:textOutline w14:w="3263" w14:cap="sq" w14:cmpd="sng" w14:algn="ctr">
                  <w14:solidFill>
                    <w14:srgbClr w14:val="000000"/>
                  </w14:solidFill>
                  <w14:prstDash w14:val="solid"/>
                  <w14:bevel/>
                </w14:textOutline>
              </w:rPr>
              <w:t>水</w:t>
            </w:r>
            <w:r>
              <w:rPr>
                <w:spacing w:val="6"/>
              </w:rPr>
              <w:t xml:space="preserve">   </w:t>
            </w:r>
            <w:r>
              <w:rPr>
                <w:spacing w:val="-1"/>
                <w14:textOutline w14:w="3263" w14:cap="sq" w14:cmpd="sng" w14:algn="ctr">
                  <w14:solidFill>
                    <w14:srgbClr w14:val="000000"/>
                  </w14:solidFill>
                  <w14:prstDash w14:val="solid"/>
                  <w14:bevel/>
                </w14:textOutline>
              </w:rPr>
              <w:t>泵</w:t>
            </w:r>
            <w:r>
              <w:rPr>
                <w:spacing w:val="6"/>
              </w:rPr>
              <w:t xml:space="preserve">   </w:t>
            </w:r>
            <w:r>
              <w:rPr>
                <w:spacing w:val="-1"/>
                <w14:textOutline w14:w="3263" w14:cap="sq" w14:cmpd="sng" w14:algn="ctr">
                  <w14:solidFill>
                    <w14:srgbClr w14:val="000000"/>
                  </w14:solidFill>
                  <w14:prstDash w14:val="solid"/>
                  <w14:bevel/>
                </w14:textOutline>
              </w:rPr>
              <w:t>参</w:t>
            </w:r>
            <w:r>
              <w:rPr>
                <w:spacing w:val="6"/>
              </w:rPr>
              <w:t xml:space="preserve">   </w:t>
            </w:r>
            <w:r>
              <w:rPr>
                <w:spacing w:val="-1"/>
                <w14:textOutline w14:w="3263" w14:cap="sq" w14:cmpd="sng" w14:algn="ctr">
                  <w14:solidFill>
                    <w14:srgbClr w14:val="000000"/>
                  </w14:solidFill>
                  <w14:prstDash w14:val="solid"/>
                  <w14:bevel/>
                </w14:textOutline>
              </w:rPr>
              <w:t>数</w:t>
            </w:r>
          </w:p>
        </w:tc>
        <w:tc>
          <w:tcPr>
            <w:tcW w:w="413" w:type="pct"/>
            <w:gridSpan w:val="2"/>
            <w:vAlign w:val="center"/>
          </w:tcPr>
          <w:p>
            <w:pPr>
              <w:pStyle w:val="243"/>
              <w:spacing w:before="59" w:line="210" w:lineRule="auto"/>
              <w:jc w:val="center"/>
              <w:rPr>
                <w:rFonts w:ascii="Times New Roman" w:hAnsi="Times New Roman" w:eastAsia="Times New Roman" w:cs="Times New Roman"/>
              </w:rPr>
            </w:pPr>
            <w:r>
              <w:rPr>
                <w:spacing w:val="-1"/>
                <w14:textOutline w14:w="3263" w14:cap="sq" w14:cmpd="sng" w14:algn="ctr">
                  <w14:solidFill>
                    <w14:srgbClr w14:val="000000"/>
                  </w14:solidFill>
                  <w14:prstDash w14:val="solid"/>
                  <w14:bevel/>
                </w14:textOutline>
              </w:rPr>
              <w:t>供水区域</w:t>
            </w:r>
            <w:r>
              <w:rPr>
                <w:rFonts w:ascii="Times New Roman" w:hAnsi="Times New Roman" w:eastAsia="Times New Roman" w:cs="Times New Roman"/>
                <w:b/>
                <w:bCs/>
                <w:spacing w:val="-1"/>
              </w:rPr>
              <w:t>(</w:t>
            </w:r>
            <w:r>
              <w:rPr>
                <w:spacing w:val="-1"/>
                <w14:textOutline w14:w="3263" w14:cap="sq" w14:cmpd="sng" w14:algn="ctr">
                  <w14:solidFill>
                    <w14:srgbClr w14:val="000000"/>
                  </w14:solidFill>
                  <w14:prstDash w14:val="solid"/>
                  <w14:bevel/>
                </w14:textOutline>
              </w:rPr>
              <w:t>范围</w:t>
            </w:r>
            <w:r>
              <w:rPr>
                <w:rFonts w:ascii="Times New Roman" w:hAnsi="Times New Roman" w:eastAsia="Times New Roman" w:cs="Times New Roman"/>
                <w:b/>
                <w:bCs/>
                <w:spacing w:val="-1"/>
              </w:rPr>
              <w:t>)</w:t>
            </w:r>
          </w:p>
        </w:tc>
        <w:tc>
          <w:tcPr>
            <w:tcW w:w="431" w:type="pct"/>
            <w:gridSpan w:val="4"/>
            <w:vAlign w:val="center"/>
          </w:tcPr>
          <w:p>
            <w:pPr>
              <w:pStyle w:val="243"/>
              <w:spacing w:before="59" w:line="221" w:lineRule="auto"/>
              <w:jc w:val="center"/>
            </w:pPr>
            <w:r>
              <w:rPr>
                <w:spacing w:val="-7"/>
                <w14:textOutline w14:w="3263" w14:cap="sq" w14:cmpd="sng" w14:algn="ctr">
                  <w14:solidFill>
                    <w14:srgbClr w14:val="000000"/>
                  </w14:solidFill>
                  <w14:prstDash w14:val="solid"/>
                  <w14:bevel/>
                </w14:textOutline>
              </w:rPr>
              <w:t>型号</w:t>
            </w:r>
          </w:p>
        </w:tc>
        <w:tc>
          <w:tcPr>
            <w:tcW w:w="218" w:type="pct"/>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数量</w:t>
            </w:r>
          </w:p>
        </w:tc>
        <w:tc>
          <w:tcPr>
            <w:tcW w:w="188" w:type="pct"/>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功率</w:t>
            </w:r>
          </w:p>
        </w:tc>
        <w:tc>
          <w:tcPr>
            <w:tcW w:w="183" w:type="pct"/>
            <w:gridSpan w:val="2"/>
            <w:vAlign w:val="center"/>
          </w:tcPr>
          <w:p>
            <w:pPr>
              <w:pStyle w:val="243"/>
              <w:spacing w:before="58" w:line="220" w:lineRule="auto"/>
              <w:jc w:val="center"/>
            </w:pPr>
            <w:r>
              <w:rPr>
                <w:spacing w:val="-4"/>
                <w14:textOutline w14:w="3263" w14:cap="sq" w14:cmpd="sng" w14:algn="ctr">
                  <w14:solidFill>
                    <w14:srgbClr w14:val="000000"/>
                  </w14:solidFill>
                  <w14:prstDash w14:val="solid"/>
                  <w14:bevel/>
                </w14:textOutline>
              </w:rPr>
              <w:t>扬程</w:t>
            </w:r>
          </w:p>
        </w:tc>
        <w:tc>
          <w:tcPr>
            <w:tcW w:w="204" w:type="pct"/>
            <w:vAlign w:val="center"/>
          </w:tcPr>
          <w:p>
            <w:pPr>
              <w:pStyle w:val="243"/>
              <w:spacing w:before="58" w:line="223" w:lineRule="auto"/>
              <w:jc w:val="center"/>
            </w:pPr>
            <w:r>
              <w:rPr>
                <w:spacing w:val="-4"/>
                <w14:textOutline w14:w="3263" w14:cap="sq" w14:cmpd="sng" w14:algn="ctr">
                  <w14:solidFill>
                    <w14:srgbClr w14:val="000000"/>
                  </w14:solidFill>
                  <w14:prstDash w14:val="solid"/>
                  <w14:bevel/>
                </w14:textOutline>
              </w:rPr>
              <w:t>流量</w:t>
            </w:r>
          </w:p>
        </w:tc>
        <w:tc>
          <w:tcPr>
            <w:tcW w:w="354" w:type="pct"/>
            <w:vAlign w:val="center"/>
          </w:tcPr>
          <w:p>
            <w:pPr>
              <w:pStyle w:val="243"/>
              <w:spacing w:before="58" w:line="219" w:lineRule="auto"/>
              <w:jc w:val="center"/>
            </w:pPr>
            <w:r>
              <w:rPr>
                <w:spacing w:val="-5"/>
                <w14:textOutline w14:w="3263" w14:cap="sq" w14:cmpd="sng" w14:algn="ctr">
                  <w14:solidFill>
                    <w14:srgbClr w14:val="000000"/>
                  </w14:solidFill>
                  <w14:prstDash w14:val="solid"/>
                  <w14:bevel/>
                </w14:textOutline>
              </w:rPr>
              <w:t>品牌厂家</w:t>
            </w:r>
          </w:p>
        </w:tc>
        <w:tc>
          <w:tcPr>
            <w:tcW w:w="390" w:type="pct"/>
            <w:gridSpan w:val="2"/>
            <w:vAlign w:val="center"/>
          </w:tcPr>
          <w:p>
            <w:pPr>
              <w:pStyle w:val="243"/>
              <w:spacing w:before="58" w:line="220" w:lineRule="auto"/>
              <w:jc w:val="center"/>
            </w:pPr>
            <w:r>
              <w:rPr>
                <w:spacing w:val="-6"/>
                <w14:textOutline w14:w="3263" w14:cap="sq" w14:cmpd="sng" w14:algn="ctr">
                  <w14:solidFill>
                    <w14:srgbClr w14:val="000000"/>
                  </w14:solidFill>
                  <w14:prstDash w14:val="solid"/>
                  <w14:bevel/>
                </w14:textOutline>
              </w:rPr>
              <w:t>出厂日期</w:t>
            </w:r>
          </w:p>
        </w:tc>
        <w:tc>
          <w:tcPr>
            <w:tcW w:w="312" w:type="pct"/>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泵前管径</w:t>
            </w:r>
          </w:p>
        </w:tc>
        <w:tc>
          <w:tcPr>
            <w:tcW w:w="272" w:type="pct"/>
            <w:vAlign w:val="center"/>
          </w:tcPr>
          <w:p>
            <w:pPr>
              <w:pStyle w:val="243"/>
              <w:spacing w:before="58" w:line="219" w:lineRule="auto"/>
              <w:jc w:val="center"/>
            </w:pPr>
            <w:r>
              <w:rPr>
                <w:spacing w:val="-2"/>
                <w14:textOutline w14:w="3263" w14:cap="sq" w14:cmpd="sng" w14:algn="ctr">
                  <w14:solidFill>
                    <w14:srgbClr w14:val="000000"/>
                  </w14:solidFill>
                  <w14:prstDash w14:val="solid"/>
                  <w14:bevel/>
                </w14:textOutline>
              </w:rPr>
              <w:t>泵后管径</w:t>
            </w:r>
          </w:p>
        </w:tc>
        <w:tc>
          <w:tcPr>
            <w:tcW w:w="158" w:type="pct"/>
            <w:vMerge w:val="restart"/>
            <w:tcBorders>
              <w:bottom w:val="nil"/>
            </w:tcBorders>
            <w:textDirection w:val="tbRlV"/>
          </w:tcPr>
          <w:p>
            <w:pPr>
              <w:pStyle w:val="243"/>
              <w:spacing w:before="116" w:line="209" w:lineRule="auto"/>
              <w:ind w:left="1124"/>
            </w:pPr>
            <w:r>
              <w:rPr>
                <w:spacing w:val="-1"/>
                <w14:textOutline w14:w="3263" w14:cap="sq" w14:cmpd="sng" w14:algn="ctr">
                  <w14:solidFill>
                    <w14:srgbClr w14:val="000000"/>
                  </w14:solidFill>
                  <w14:prstDash w14:val="solid"/>
                  <w14:bevel/>
                </w14:textOutline>
              </w:rPr>
              <w:t>水</w:t>
            </w:r>
            <w:r>
              <w:rPr>
                <w:spacing w:val="7"/>
              </w:rPr>
              <w:t xml:space="preserve">   </w:t>
            </w:r>
            <w:r>
              <w:rPr>
                <w:spacing w:val="-1"/>
                <w14:textOutline w14:w="3263" w14:cap="sq" w14:cmpd="sng" w14:algn="ctr">
                  <w14:solidFill>
                    <w14:srgbClr w14:val="000000"/>
                  </w14:solidFill>
                  <w14:prstDash w14:val="solid"/>
                  <w14:bevel/>
                </w14:textOutline>
              </w:rPr>
              <w:t>泵</w:t>
            </w:r>
            <w:r>
              <w:rPr>
                <w:spacing w:val="6"/>
              </w:rPr>
              <w:t xml:space="preserve">   </w:t>
            </w:r>
            <w:r>
              <w:rPr>
                <w:spacing w:val="-1"/>
                <w14:textOutline w14:w="3263" w14:cap="sq" w14:cmpd="sng" w14:algn="ctr">
                  <w14:solidFill>
                    <w14:srgbClr w14:val="000000"/>
                  </w14:solidFill>
                  <w14:prstDash w14:val="solid"/>
                  <w14:bevel/>
                </w14:textOutline>
              </w:rPr>
              <w:t>电</w:t>
            </w:r>
            <w:r>
              <w:rPr>
                <w:spacing w:val="6"/>
              </w:rPr>
              <w:t xml:space="preserve">   </w:t>
            </w:r>
            <w:r>
              <w:rPr>
                <w:spacing w:val="-1"/>
                <w14:textOutline w14:w="3263" w14:cap="sq" w14:cmpd="sng" w14:algn="ctr">
                  <w14:solidFill>
                    <w14:srgbClr w14:val="000000"/>
                  </w14:solidFill>
                  <w14:prstDash w14:val="solid"/>
                  <w14:bevel/>
                </w14:textOutline>
              </w:rPr>
              <w:t>气</w:t>
            </w:r>
            <w:r>
              <w:rPr>
                <w:spacing w:val="6"/>
              </w:rPr>
              <w:t xml:space="preserve">   </w:t>
            </w:r>
            <w:r>
              <w:rPr>
                <w:spacing w:val="-1"/>
                <w14:textOutline w14:w="3263" w14:cap="sq" w14:cmpd="sng" w14:algn="ctr">
                  <w14:solidFill>
                    <w14:srgbClr w14:val="000000"/>
                  </w14:solidFill>
                  <w14:prstDash w14:val="solid"/>
                  <w14:bevel/>
                </w14:textOutline>
              </w:rPr>
              <w:t>控</w:t>
            </w:r>
            <w:r>
              <w:rPr>
                <w:spacing w:val="6"/>
              </w:rPr>
              <w:t xml:space="preserve">   </w:t>
            </w:r>
            <w:r>
              <w:rPr>
                <w:spacing w:val="-1"/>
                <w14:textOutline w14:w="3263" w14:cap="sq" w14:cmpd="sng" w14:algn="ctr">
                  <w14:solidFill>
                    <w14:srgbClr w14:val="000000"/>
                  </w14:solidFill>
                  <w14:prstDash w14:val="solid"/>
                  <w14:bevel/>
                </w14:textOutline>
              </w:rPr>
              <w:t>制</w:t>
            </w:r>
          </w:p>
        </w:tc>
        <w:tc>
          <w:tcPr>
            <w:tcW w:w="322" w:type="pct"/>
            <w:gridSpan w:val="2"/>
            <w:vAlign w:val="center"/>
          </w:tcPr>
          <w:p>
            <w:pPr>
              <w:pStyle w:val="243"/>
              <w:spacing w:before="58" w:line="220" w:lineRule="auto"/>
              <w:jc w:val="center"/>
              <w:rPr>
                <w:spacing w:val="-1"/>
                <w14:textOutline w14:w="3263" w14:cap="sq" w14:cmpd="sng" w14:algn="ctr">
                  <w14:solidFill>
                    <w14:srgbClr w14:val="000000"/>
                  </w14:solidFill>
                  <w14:prstDash w14:val="solid"/>
                  <w14:bevel/>
                </w14:textOutline>
              </w:rPr>
            </w:pPr>
            <w:r>
              <w:rPr>
                <w:spacing w:val="-1"/>
                <w14:textOutline w14:w="3263" w14:cap="sq" w14:cmpd="sng" w14:algn="ctr">
                  <w14:solidFill>
                    <w14:srgbClr w14:val="000000"/>
                  </w14:solidFill>
                  <w14:prstDash w14:val="solid"/>
                  <w14:bevel/>
                </w14:textOutline>
              </w:rPr>
              <w:t>出水压力</w:t>
            </w:r>
          </w:p>
        </w:tc>
        <w:tc>
          <w:tcPr>
            <w:tcW w:w="344" w:type="pct"/>
            <w:gridSpan w:val="2"/>
            <w:vAlign w:val="center"/>
          </w:tcPr>
          <w:p>
            <w:pPr>
              <w:pStyle w:val="243"/>
              <w:spacing w:before="58" w:line="220" w:lineRule="auto"/>
              <w:jc w:val="center"/>
              <w:rPr>
                <w:spacing w:val="-1"/>
                <w:lang w:eastAsia="zh-CN"/>
                <w14:textOutline w14:w="3263" w14:cap="sq" w14:cmpd="sng" w14:algn="ctr">
                  <w14:solidFill>
                    <w14:srgbClr w14:val="000000"/>
                  </w14:solidFill>
                  <w14:prstDash w14:val="solid"/>
                  <w14:bevel/>
                </w14:textOutline>
              </w:rPr>
            </w:pPr>
            <w:r>
              <w:rPr>
                <w:rFonts w:hint="eastAsia"/>
                <w:spacing w:val="-1"/>
                <w:lang w:eastAsia="zh-CN"/>
                <w14:textOutline w14:w="3263" w14:cap="sq" w14:cmpd="sng" w14:algn="ctr">
                  <w14:solidFill>
                    <w14:srgbClr w14:val="000000"/>
                  </w14:solidFill>
                  <w14:prstDash w14:val="solid"/>
                  <w14:bevel/>
                </w14:textOutline>
              </w:rPr>
              <w:t>变频器型号</w:t>
            </w:r>
          </w:p>
        </w:tc>
        <w:tc>
          <w:tcPr>
            <w:tcW w:w="269" w:type="pct"/>
            <w:vAlign w:val="center"/>
          </w:tcPr>
          <w:p>
            <w:pPr>
              <w:pStyle w:val="243"/>
              <w:spacing w:before="58" w:line="220" w:lineRule="auto"/>
              <w:jc w:val="center"/>
            </w:pPr>
            <w:r>
              <w:rPr>
                <w:spacing w:val="-1"/>
                <w14:textOutline w14:w="3263" w14:cap="sq" w14:cmpd="sng" w14:algn="ctr">
                  <w14:solidFill>
                    <w14:srgbClr w14:val="000000"/>
                  </w14:solidFill>
                  <w14:prstDash w14:val="solid"/>
                  <w14:bevel/>
                </w14:textOutline>
              </w:rPr>
              <w:t>控制柜厂家</w:t>
            </w:r>
          </w:p>
        </w:tc>
        <w:tc>
          <w:tcPr>
            <w:tcW w:w="259" w:type="pct"/>
            <w:vAlign w:val="center"/>
          </w:tcPr>
          <w:p>
            <w:pPr>
              <w:pStyle w:val="243"/>
              <w:spacing w:before="58" w:line="220" w:lineRule="auto"/>
              <w:jc w:val="center"/>
            </w:pPr>
            <w:r>
              <w:rPr>
                <w:spacing w:val="-2"/>
                <w14:textOutline w14:w="3263" w14:cap="sq" w14:cmpd="sng" w14:algn="ctr">
                  <w14:solidFill>
                    <w14:srgbClr w14:val="000000"/>
                  </w14:solidFill>
                  <w14:prstDash w14:val="solid"/>
                  <w14:bevel/>
                </w14:textOutline>
              </w:rPr>
              <w:t>安装是否合理</w:t>
            </w:r>
          </w:p>
        </w:tc>
        <w:tc>
          <w:tcPr>
            <w:tcW w:w="290" w:type="pct"/>
            <w:gridSpan w:val="3"/>
            <w:vAlign w:val="center"/>
          </w:tcPr>
          <w:p>
            <w:pPr>
              <w:pStyle w:val="243"/>
              <w:spacing w:before="58" w:line="220" w:lineRule="auto"/>
              <w:jc w:val="center"/>
            </w:pPr>
            <w:r>
              <w:rPr>
                <w:spacing w:val="-1"/>
                <w14:textOutline w14:w="3263" w14:cap="sq" w14:cmpd="sng" w14:algn="ctr">
                  <w14:solidFill>
                    <w14:srgbClr w14:val="000000"/>
                  </w14:solidFill>
                  <w14:prstDash w14:val="solid"/>
                  <w14:bevel/>
                </w14:textOutline>
              </w:rPr>
              <w:t>运转是否正常</w:t>
            </w:r>
          </w:p>
        </w:tc>
        <w:tc>
          <w:tcPr>
            <w:tcW w:w="288" w:type="pct"/>
            <w:vAlign w:val="center"/>
          </w:tcPr>
          <w:p>
            <w:pPr>
              <w:pStyle w:val="243"/>
              <w:spacing w:before="58" w:line="220" w:lineRule="auto"/>
              <w:jc w:val="center"/>
            </w:pPr>
            <w:r>
              <w:rPr>
                <w:spacing w:val="-5"/>
                <w14:textOutline w14:w="3263" w14:cap="sq" w14:cmpd="sng" w14:algn="ctr">
                  <w14:solidFill>
                    <w14:srgbClr w14:val="000000"/>
                  </w14:solidFill>
                  <w14:prstDash w14:val="solid"/>
                  <w14:bevel/>
                </w14:textOutline>
              </w:rPr>
              <w:t>电器是否正常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 w:type="pct"/>
            <w:vMerge w:val="continue"/>
            <w:tcBorders>
              <w:top w:val="nil"/>
              <w:bottom w:val="nil"/>
            </w:tcBorders>
            <w:textDirection w:val="tbRlV"/>
          </w:tcPr>
          <w:p>
            <w:pPr>
              <w:rPr>
                <w:rFonts w:ascii="Arial"/>
              </w:rPr>
            </w:pPr>
          </w:p>
        </w:tc>
        <w:tc>
          <w:tcPr>
            <w:tcW w:w="413" w:type="pct"/>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高区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阁</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431" w:type="pct"/>
            <w:gridSpan w:val="4"/>
          </w:tcPr>
          <w:p>
            <w:pPr>
              <w:pStyle w:val="243"/>
              <w:spacing w:before="150"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 w:type="pct"/>
            <w:vMerge w:val="continue"/>
            <w:tcBorders>
              <w:top w:val="nil"/>
              <w:bottom w:val="nil"/>
            </w:tcBorders>
            <w:textDirection w:val="tbRlV"/>
          </w:tcPr>
          <w:p>
            <w:pPr>
              <w:rPr>
                <w:rFonts w:ascii="Arial"/>
              </w:rPr>
            </w:pPr>
          </w:p>
        </w:tc>
        <w:tc>
          <w:tcPr>
            <w:tcW w:w="413" w:type="pct"/>
            <w:gridSpan w:val="2"/>
            <w:vMerge w:val="continue"/>
            <w:tcBorders>
              <w:top w:val="nil"/>
            </w:tcBorders>
          </w:tcPr>
          <w:p>
            <w:pPr>
              <w:rPr>
                <w:rFonts w:ascii="Arial"/>
              </w:rPr>
            </w:pPr>
          </w:p>
        </w:tc>
        <w:tc>
          <w:tcPr>
            <w:tcW w:w="431" w:type="pct"/>
            <w:gridSpan w:val="4"/>
          </w:tcPr>
          <w:p>
            <w:pPr>
              <w:pStyle w:val="243"/>
              <w:spacing w:before="150"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6" w:type="pct"/>
            <w:vMerge w:val="continue"/>
            <w:tcBorders>
              <w:top w:val="nil"/>
              <w:bottom w:val="nil"/>
            </w:tcBorders>
            <w:textDirection w:val="tbRlV"/>
          </w:tcPr>
          <w:p>
            <w:pPr>
              <w:rPr>
                <w:rFonts w:ascii="Arial"/>
              </w:rPr>
            </w:pPr>
          </w:p>
        </w:tc>
        <w:tc>
          <w:tcPr>
            <w:tcW w:w="413" w:type="pct"/>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中区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 xml:space="preserve">阁 </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431" w:type="pct"/>
            <w:gridSpan w:val="4"/>
          </w:tcPr>
          <w:p>
            <w:pPr>
              <w:pStyle w:val="243"/>
              <w:spacing w:before="149"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6" w:type="pct"/>
            <w:vMerge w:val="continue"/>
            <w:tcBorders>
              <w:top w:val="nil"/>
              <w:bottom w:val="nil"/>
            </w:tcBorders>
            <w:textDirection w:val="tbRlV"/>
          </w:tcPr>
          <w:p>
            <w:pPr>
              <w:rPr>
                <w:rFonts w:ascii="Arial"/>
              </w:rPr>
            </w:pPr>
          </w:p>
        </w:tc>
        <w:tc>
          <w:tcPr>
            <w:tcW w:w="413" w:type="pct"/>
            <w:gridSpan w:val="2"/>
            <w:vMerge w:val="continue"/>
            <w:tcBorders>
              <w:top w:val="nil"/>
            </w:tcBorders>
          </w:tcPr>
          <w:p>
            <w:pPr>
              <w:rPr>
                <w:rFonts w:ascii="Arial"/>
              </w:rPr>
            </w:pPr>
          </w:p>
        </w:tc>
        <w:tc>
          <w:tcPr>
            <w:tcW w:w="431" w:type="pct"/>
            <w:gridSpan w:val="4"/>
          </w:tcPr>
          <w:p>
            <w:pPr>
              <w:pStyle w:val="243"/>
              <w:spacing w:before="149"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3"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6" w:type="pct"/>
            <w:vMerge w:val="continue"/>
            <w:tcBorders>
              <w:top w:val="nil"/>
              <w:bottom w:val="nil"/>
            </w:tcBorders>
            <w:textDirection w:val="tbRlV"/>
          </w:tcPr>
          <w:p>
            <w:pPr>
              <w:rPr>
                <w:rFonts w:ascii="Arial"/>
              </w:rPr>
            </w:pPr>
          </w:p>
        </w:tc>
        <w:tc>
          <w:tcPr>
            <w:tcW w:w="413" w:type="pct"/>
            <w:gridSpan w:val="2"/>
            <w:vMerge w:val="restart"/>
            <w:tcBorders>
              <w:bottom w:val="nil"/>
            </w:tcBorders>
          </w:tcPr>
          <w:p>
            <w:pPr>
              <w:widowControl/>
              <w:jc w:val="left"/>
              <w:rPr>
                <w:rFonts w:ascii="Times New Roman" w:hAnsi="Times New Roman" w:eastAsia="Times New Roman"/>
              </w:rPr>
            </w:pPr>
            <w:r>
              <w:rPr>
                <w:rFonts w:hint="eastAsia" w:ascii="Times New Roman" w:hAnsi="Times New Roman"/>
                <w:color w:val="000000"/>
                <w:kern w:val="0"/>
                <w:sz w:val="18"/>
                <w:szCs w:val="18"/>
                <w:lang w:bidi="ar"/>
              </w:rPr>
              <w:t>□</w:t>
            </w:r>
            <w:r>
              <w:rPr>
                <w:rFonts w:hint="eastAsia" w:ascii="宋体" w:hAnsi="宋体" w:cs="宋体"/>
                <w:b/>
                <w:bCs/>
                <w:color w:val="000000"/>
                <w:kern w:val="0"/>
                <w:sz w:val="18"/>
                <w:szCs w:val="18"/>
                <w:lang w:bidi="ar"/>
              </w:rPr>
              <w:t>低区</w:t>
            </w:r>
            <w:r>
              <w:rPr>
                <w:rFonts w:hint="eastAsia" w:ascii="宋体" w:hAnsi="宋体" w:cs="宋体"/>
                <w:color w:val="000000"/>
                <w:kern w:val="0"/>
                <w:sz w:val="18"/>
                <w:szCs w:val="18"/>
                <w:lang w:bidi="ar"/>
              </w:rPr>
              <w:t>从层至层</w:t>
            </w: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 xml:space="preserve">阁 </w:t>
            </w:r>
            <w:r>
              <w:rPr>
                <w:rFonts w:ascii="Times New Roman" w:hAnsi="Times New Roman"/>
                <w:color w:val="000000"/>
                <w:kern w:val="0"/>
                <w:sz w:val="18"/>
                <w:szCs w:val="18"/>
                <w:lang w:bidi="ar"/>
              </w:rPr>
              <w:t>(</w:t>
            </w:r>
            <w:r>
              <w:rPr>
                <w:rFonts w:hint="eastAsia" w:ascii="宋体" w:hAnsi="宋体" w:cs="宋体"/>
                <w:color w:val="000000"/>
                <w:kern w:val="0"/>
                <w:sz w:val="18"/>
                <w:szCs w:val="18"/>
                <w:lang w:bidi="ar"/>
              </w:rPr>
              <w:t>栋</w:t>
            </w:r>
            <w:r>
              <w:rPr>
                <w:rFonts w:ascii="Times New Roman" w:hAnsi="Times New Roman"/>
                <w:color w:val="000000"/>
                <w:kern w:val="0"/>
                <w:sz w:val="18"/>
                <w:szCs w:val="18"/>
                <w:lang w:bidi="ar"/>
              </w:rPr>
              <w:t>)</w:t>
            </w:r>
          </w:p>
        </w:tc>
        <w:tc>
          <w:tcPr>
            <w:tcW w:w="431" w:type="pct"/>
            <w:gridSpan w:val="4"/>
          </w:tcPr>
          <w:p>
            <w:pPr>
              <w:pStyle w:val="243"/>
              <w:spacing w:before="148" w:line="235" w:lineRule="auto"/>
              <w:ind w:left="115"/>
            </w:pPr>
            <w:r>
              <w:rPr>
                <w:rFonts w:ascii="Times New Roman" w:hAnsi="Times New Roman" w:eastAsia="Times New Roman" w:cs="Times New Roman"/>
                <w:b/>
                <w:bCs/>
                <w:spacing w:val="-6"/>
              </w:rPr>
              <w:t>1</w:t>
            </w:r>
            <w:r>
              <w:rPr>
                <w:spacing w:val="-6"/>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2"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96" w:type="pct"/>
            <w:vMerge w:val="continue"/>
            <w:tcBorders>
              <w:top w:val="nil"/>
            </w:tcBorders>
            <w:textDirection w:val="tbRlV"/>
          </w:tcPr>
          <w:p>
            <w:pPr>
              <w:rPr>
                <w:rFonts w:ascii="Arial"/>
              </w:rPr>
            </w:pPr>
          </w:p>
        </w:tc>
        <w:tc>
          <w:tcPr>
            <w:tcW w:w="413" w:type="pct"/>
            <w:gridSpan w:val="2"/>
            <w:vMerge w:val="continue"/>
            <w:tcBorders>
              <w:top w:val="nil"/>
            </w:tcBorders>
          </w:tcPr>
          <w:p>
            <w:pPr>
              <w:rPr>
                <w:rFonts w:ascii="Arial"/>
              </w:rPr>
            </w:pPr>
          </w:p>
        </w:tc>
        <w:tc>
          <w:tcPr>
            <w:tcW w:w="431" w:type="pct"/>
            <w:gridSpan w:val="4"/>
          </w:tcPr>
          <w:p>
            <w:pPr>
              <w:pStyle w:val="243"/>
              <w:spacing w:before="148" w:line="235" w:lineRule="auto"/>
              <w:ind w:left="107"/>
            </w:pPr>
            <w:r>
              <w:rPr>
                <w:rFonts w:ascii="Times New Roman" w:hAnsi="Times New Roman" w:eastAsia="Times New Roman" w:cs="Times New Roman"/>
                <w:b/>
                <w:bCs/>
                <w:spacing w:val="-3"/>
              </w:rPr>
              <w:t>2</w:t>
            </w:r>
            <w:r>
              <w:rPr>
                <w:spacing w:val="-3"/>
                <w14:textOutline w14:w="3263" w14:cap="sq" w14:cmpd="sng" w14:algn="ctr">
                  <w14:solidFill>
                    <w14:srgbClr w14:val="000000"/>
                  </w14:solidFill>
                  <w14:prstDash w14:val="solid"/>
                  <w14:bevel/>
                </w14:textOutline>
              </w:rPr>
              <w:t>：</w:t>
            </w: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2"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49" w:type="pct"/>
            <w:gridSpan w:val="2"/>
            <w:vMerge w:val="restart"/>
          </w:tcPr>
          <w:p>
            <w:pPr>
              <w:pStyle w:val="243"/>
              <w:spacing w:before="59" w:line="219" w:lineRule="auto"/>
              <w:rPr>
                <w:lang w:eastAsia="zh-CN"/>
              </w:rPr>
            </w:pPr>
            <w:r>
              <w:rPr>
                <w:spacing w:val="-3"/>
                <w:lang w:eastAsia="zh-CN"/>
                <w14:textOutline w14:w="3263" w14:cap="sq" w14:cmpd="sng" w14:algn="ctr">
                  <w14:solidFill>
                    <w14:srgbClr w14:val="000000"/>
                  </w14:solidFill>
                  <w14:prstDash w14:val="solid"/>
                  <w14:bevel/>
                </w14:textOutline>
              </w:rPr>
              <w:t>自行节能改造后的设施</w:t>
            </w:r>
          </w:p>
        </w:tc>
        <w:tc>
          <w:tcPr>
            <w:tcW w:w="209" w:type="pct"/>
            <w:gridSpan w:val="3"/>
          </w:tcPr>
          <w:p>
            <w:pPr>
              <w:pStyle w:val="243"/>
              <w:spacing w:before="150" w:line="219" w:lineRule="auto"/>
              <w:ind w:left="116"/>
            </w:pPr>
            <w:r>
              <w:rPr>
                <w:rFonts w:ascii="Times New Roman" w:hAnsi="Times New Roman" w:eastAsia="Times New Roman" w:cs="Times New Roman"/>
                <w:spacing w:val="-5"/>
              </w:rPr>
              <w:t>□</w:t>
            </w:r>
            <w:r>
              <w:rPr>
                <w:spacing w:val="-5"/>
                <w14:textOutline w14:w="3263" w14:cap="sq" w14:cmpd="sng" w14:algn="ctr">
                  <w14:solidFill>
                    <w14:srgbClr w14:val="000000"/>
                  </w14:solidFill>
                  <w14:prstDash w14:val="solid"/>
                  <w14:bevel/>
                </w14:textOutline>
              </w:rPr>
              <w:t>高区</w:t>
            </w:r>
          </w:p>
        </w:tc>
        <w:tc>
          <w:tcPr>
            <w:tcW w:w="282" w:type="pct"/>
            <w:gridSpan w:val="2"/>
          </w:tcPr>
          <w:p>
            <w:pPr>
              <w:rPr>
                <w:rFonts w:ascii="Arial"/>
              </w:rPr>
            </w:pP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bottom w:val="nil"/>
            </w:tcBorders>
            <w:textDirection w:val="tbRlV"/>
          </w:tcPr>
          <w:p>
            <w:pPr>
              <w:rPr>
                <w:rFonts w:ascii="Arial"/>
              </w:rPr>
            </w:pPr>
          </w:p>
        </w:tc>
        <w:tc>
          <w:tcPr>
            <w:tcW w:w="322" w:type="pct"/>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449" w:type="pct"/>
            <w:gridSpan w:val="2"/>
            <w:vMerge w:val="continue"/>
          </w:tcPr>
          <w:p>
            <w:pPr>
              <w:rPr>
                <w:rFonts w:ascii="Arial"/>
              </w:rPr>
            </w:pPr>
          </w:p>
        </w:tc>
        <w:tc>
          <w:tcPr>
            <w:tcW w:w="209" w:type="pct"/>
            <w:gridSpan w:val="3"/>
          </w:tcPr>
          <w:p>
            <w:pPr>
              <w:pStyle w:val="243"/>
              <w:spacing w:before="149" w:line="221" w:lineRule="auto"/>
              <w:ind w:left="116"/>
            </w:pPr>
            <w:r>
              <w:rPr>
                <w:rFonts w:ascii="Times New Roman" w:hAnsi="Times New Roman" w:eastAsia="Times New Roman" w:cs="Times New Roman"/>
                <w:spacing w:val="-5"/>
              </w:rPr>
              <w:t>□</w:t>
            </w:r>
            <w:r>
              <w:rPr>
                <w:spacing w:val="-5"/>
                <w14:textOutline w14:w="3263" w14:cap="sq" w14:cmpd="sng" w14:algn="ctr">
                  <w14:solidFill>
                    <w14:srgbClr w14:val="000000"/>
                  </w14:solidFill>
                  <w14:prstDash w14:val="solid"/>
                  <w14:bevel/>
                </w14:textOutline>
              </w:rPr>
              <w:t>低区</w:t>
            </w:r>
          </w:p>
        </w:tc>
        <w:tc>
          <w:tcPr>
            <w:tcW w:w="282" w:type="pct"/>
            <w:gridSpan w:val="2"/>
          </w:tcPr>
          <w:p>
            <w:pPr>
              <w:rPr>
                <w:rFonts w:ascii="Arial"/>
              </w:rPr>
            </w:pPr>
          </w:p>
        </w:tc>
        <w:tc>
          <w:tcPr>
            <w:tcW w:w="218" w:type="pct"/>
          </w:tcPr>
          <w:p>
            <w:pPr>
              <w:rPr>
                <w:rFonts w:ascii="Arial"/>
              </w:rPr>
            </w:pPr>
          </w:p>
        </w:tc>
        <w:tc>
          <w:tcPr>
            <w:tcW w:w="188" w:type="pct"/>
          </w:tcPr>
          <w:p>
            <w:pPr>
              <w:rPr>
                <w:rFonts w:ascii="Arial"/>
              </w:rPr>
            </w:pPr>
          </w:p>
        </w:tc>
        <w:tc>
          <w:tcPr>
            <w:tcW w:w="183" w:type="pct"/>
            <w:gridSpan w:val="2"/>
          </w:tcPr>
          <w:p>
            <w:pPr>
              <w:rPr>
                <w:rFonts w:ascii="Arial"/>
              </w:rPr>
            </w:pPr>
          </w:p>
        </w:tc>
        <w:tc>
          <w:tcPr>
            <w:tcW w:w="204" w:type="pct"/>
          </w:tcPr>
          <w:p>
            <w:pPr>
              <w:rPr>
                <w:rFonts w:ascii="Arial"/>
              </w:rPr>
            </w:pPr>
          </w:p>
        </w:tc>
        <w:tc>
          <w:tcPr>
            <w:tcW w:w="354" w:type="pct"/>
          </w:tcPr>
          <w:p>
            <w:pPr>
              <w:rPr>
                <w:rFonts w:ascii="Arial"/>
              </w:rPr>
            </w:pPr>
          </w:p>
        </w:tc>
        <w:tc>
          <w:tcPr>
            <w:tcW w:w="390" w:type="pct"/>
            <w:gridSpan w:val="2"/>
          </w:tcPr>
          <w:p>
            <w:pPr>
              <w:rPr>
                <w:rFonts w:ascii="Arial"/>
              </w:rPr>
            </w:pPr>
          </w:p>
        </w:tc>
        <w:tc>
          <w:tcPr>
            <w:tcW w:w="312" w:type="pct"/>
          </w:tcPr>
          <w:p>
            <w:pPr>
              <w:rPr>
                <w:rFonts w:ascii="Arial"/>
              </w:rPr>
            </w:pPr>
          </w:p>
        </w:tc>
        <w:tc>
          <w:tcPr>
            <w:tcW w:w="272" w:type="pct"/>
          </w:tcPr>
          <w:p>
            <w:pPr>
              <w:rPr>
                <w:rFonts w:ascii="Arial"/>
              </w:rPr>
            </w:pPr>
          </w:p>
        </w:tc>
        <w:tc>
          <w:tcPr>
            <w:tcW w:w="158" w:type="pct"/>
            <w:vMerge w:val="continue"/>
            <w:tcBorders>
              <w:top w:val="nil"/>
            </w:tcBorders>
            <w:textDirection w:val="tbRlV"/>
          </w:tcPr>
          <w:p>
            <w:pPr>
              <w:rPr>
                <w:rFonts w:ascii="Arial"/>
              </w:rPr>
            </w:pPr>
          </w:p>
        </w:tc>
        <w:tc>
          <w:tcPr>
            <w:tcW w:w="322" w:type="pct"/>
            <w:gridSpan w:val="2"/>
            <w:vAlign w:val="center"/>
          </w:tcPr>
          <w:p>
            <w:pPr>
              <w:spacing w:before="181" w:line="185" w:lineRule="auto"/>
              <w:ind w:left="116"/>
              <w:rPr>
                <w:rFonts w:ascii="Times New Roman" w:hAnsi="Times New Roman" w:eastAsia="Times New Roman"/>
                <w:sz w:val="18"/>
                <w:szCs w:val="18"/>
              </w:rPr>
            </w:pPr>
            <w:r>
              <w:rPr>
                <w:rFonts w:ascii="Times New Roman" w:hAnsi="Times New Roman" w:eastAsia="Times New Roman"/>
                <w:b/>
                <w:bCs/>
                <w:spacing w:val="-2"/>
                <w:sz w:val="18"/>
                <w:szCs w:val="18"/>
              </w:rPr>
              <w:t>Mpa</w:t>
            </w:r>
          </w:p>
        </w:tc>
        <w:tc>
          <w:tcPr>
            <w:tcW w:w="344" w:type="pct"/>
            <w:gridSpan w:val="2"/>
          </w:tcPr>
          <w:p>
            <w:pPr>
              <w:rPr>
                <w:rFonts w:ascii="Arial"/>
              </w:rPr>
            </w:pPr>
          </w:p>
        </w:tc>
        <w:tc>
          <w:tcPr>
            <w:tcW w:w="269" w:type="pct"/>
          </w:tcPr>
          <w:p>
            <w:pPr>
              <w:rPr>
                <w:rFonts w:ascii="Arial"/>
              </w:rPr>
            </w:pPr>
          </w:p>
        </w:tc>
        <w:tc>
          <w:tcPr>
            <w:tcW w:w="259"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90" w:type="pct"/>
            <w:gridSpan w:val="3"/>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288" w:type="pct"/>
          </w:tcPr>
          <w:p>
            <w:pPr>
              <w:pStyle w:val="243"/>
              <w:spacing w:before="150" w:line="220" w:lineRule="auto"/>
              <w:ind w:left="118"/>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bl>
    <w:p>
      <w:pPr>
        <w:pStyle w:val="199"/>
      </w:pPr>
    </w:p>
    <w:p>
      <w:pPr>
        <w:pStyle w:val="199"/>
      </w:pPr>
    </w:p>
    <w:tbl>
      <w:tblPr>
        <w:tblStyle w:val="244"/>
        <w:tblW w:w="500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8"/>
        <w:gridCol w:w="1550"/>
        <w:gridCol w:w="636"/>
        <w:gridCol w:w="1546"/>
        <w:gridCol w:w="984"/>
        <w:gridCol w:w="993"/>
        <w:gridCol w:w="743"/>
        <w:gridCol w:w="1038"/>
        <w:gridCol w:w="3508"/>
        <w:gridCol w:w="2001"/>
        <w:gridCol w:w="1486"/>
        <w:gridCol w:w="1304"/>
        <w:gridCol w:w="1300"/>
        <w:gridCol w:w="635"/>
        <w:gridCol w:w="1337"/>
        <w:gridCol w:w="11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27" w:type="pct"/>
            <w:vMerge w:val="restart"/>
            <w:tcBorders>
              <w:bottom w:val="nil"/>
            </w:tcBorders>
            <w:textDirection w:val="tbRlV"/>
            <w:vAlign w:val="center"/>
          </w:tcPr>
          <w:p>
            <w:pPr>
              <w:pStyle w:val="243"/>
              <w:spacing w:before="135" w:line="208" w:lineRule="auto"/>
              <w:ind w:left="1329"/>
              <w:jc w:val="center"/>
            </w:pPr>
            <w:r>
              <w:rPr>
                <w:spacing w:val="-1"/>
                <w14:textOutline w14:w="3263" w14:cap="sq" w14:cmpd="sng" w14:algn="ctr">
                  <w14:solidFill>
                    <w14:srgbClr w14:val="000000"/>
                  </w14:solidFill>
                  <w14:prstDash w14:val="solid"/>
                  <w14:bevel/>
                </w14:textOutline>
              </w:rPr>
              <w:t>水</w:t>
            </w:r>
            <w:r>
              <w:rPr>
                <w:spacing w:val="6"/>
              </w:rPr>
              <w:t xml:space="preserve">   </w:t>
            </w:r>
            <w:r>
              <w:rPr>
                <w:spacing w:val="-1"/>
                <w14:textOutline w14:w="3263" w14:cap="sq" w14:cmpd="sng" w14:algn="ctr">
                  <w14:solidFill>
                    <w14:srgbClr w14:val="000000"/>
                  </w14:solidFill>
                  <w14:prstDash w14:val="solid"/>
                  <w14:bevel/>
                </w14:textOutline>
              </w:rPr>
              <w:t>池</w:t>
            </w:r>
            <w:r>
              <w:rPr>
                <w:spacing w:val="6"/>
              </w:rPr>
              <w:t xml:space="preserve">   </w:t>
            </w:r>
            <w:r>
              <w:rPr>
                <w:spacing w:val="-1"/>
                <w14:textOutline w14:w="3263" w14:cap="sq" w14:cmpd="sng" w14:algn="ctr">
                  <w14:solidFill>
                    <w14:srgbClr w14:val="000000"/>
                  </w14:solidFill>
                  <w14:prstDash w14:val="solid"/>
                  <w14:bevel/>
                </w14:textOutline>
              </w:rPr>
              <w:t>属</w:t>
            </w:r>
            <w:r>
              <w:rPr>
                <w:spacing w:val="7"/>
              </w:rPr>
              <w:t xml:space="preserve">   </w:t>
            </w:r>
            <w:r>
              <w:rPr>
                <w:spacing w:val="-1"/>
                <w14:textOutline w14:w="3263" w14:cap="sq" w14:cmpd="sng" w14:algn="ctr">
                  <w14:solidFill>
                    <w14:srgbClr w14:val="000000"/>
                  </w14:solidFill>
                  <w14:prstDash w14:val="solid"/>
                  <w14:bevel/>
                </w14:textOutline>
              </w:rPr>
              <w:t>性</w:t>
            </w:r>
          </w:p>
        </w:tc>
        <w:tc>
          <w:tcPr>
            <w:tcW w:w="372" w:type="pct"/>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水池位置</w:t>
            </w:r>
          </w:p>
        </w:tc>
        <w:tc>
          <w:tcPr>
            <w:tcW w:w="153" w:type="pct"/>
            <w:vAlign w:val="center"/>
          </w:tcPr>
          <w:p>
            <w:pPr>
              <w:pStyle w:val="243"/>
              <w:spacing w:before="148" w:line="219" w:lineRule="auto"/>
              <w:jc w:val="center"/>
            </w:pPr>
            <w:r>
              <w:rPr>
                <w:spacing w:val="-5"/>
                <w14:textOutline w14:w="3263" w14:cap="sq" w14:cmpd="sng" w14:algn="ctr">
                  <w14:solidFill>
                    <w14:srgbClr w14:val="000000"/>
                  </w14:solidFill>
                  <w14:prstDash w14:val="solid"/>
                  <w14:bevel/>
                </w14:textOutline>
              </w:rPr>
              <w:t>数量</w:t>
            </w:r>
          </w:p>
        </w:tc>
        <w:tc>
          <w:tcPr>
            <w:tcW w:w="371" w:type="pct"/>
            <w:vAlign w:val="center"/>
          </w:tcPr>
          <w:p>
            <w:pPr>
              <w:pStyle w:val="243"/>
              <w:spacing w:before="148" w:line="219" w:lineRule="auto"/>
              <w:jc w:val="center"/>
            </w:pPr>
            <w:r>
              <w:rPr>
                <w:spacing w:val="-1"/>
                <w14:textOutline w14:w="3263" w14:cap="sq" w14:cmpd="sng" w14:algn="ctr">
                  <w14:solidFill>
                    <w14:srgbClr w14:val="000000"/>
                  </w14:solidFill>
                  <w14:prstDash w14:val="solid"/>
                  <w14:bevel/>
                </w14:textOutline>
              </w:rPr>
              <w:t>进出水管径</w:t>
            </w:r>
          </w:p>
        </w:tc>
        <w:tc>
          <w:tcPr>
            <w:tcW w:w="237" w:type="pct"/>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进水阀</w:t>
            </w:r>
          </w:p>
        </w:tc>
        <w:tc>
          <w:tcPr>
            <w:tcW w:w="418" w:type="pct"/>
            <w:gridSpan w:val="2"/>
            <w:vAlign w:val="center"/>
          </w:tcPr>
          <w:p>
            <w:pPr>
              <w:pStyle w:val="243"/>
              <w:spacing w:before="148" w:line="212" w:lineRule="auto"/>
              <w:jc w:val="center"/>
              <w:rPr>
                <w:rFonts w:ascii="Times New Roman" w:hAnsi="Times New Roman" w:eastAsia="Times New Roman" w:cs="Times New Roman"/>
              </w:rPr>
            </w:pPr>
            <w:r>
              <w:rPr>
                <w:spacing w:val="-3"/>
                <w14:textOutline w14:w="3263" w14:cap="sq" w14:cmpd="sng" w14:algn="ctr">
                  <w14:solidFill>
                    <w14:srgbClr w14:val="000000"/>
                  </w14:solidFill>
                  <w14:prstDash w14:val="solid"/>
                  <w14:bevel/>
                </w14:textOutline>
              </w:rPr>
              <w:t>长</w:t>
            </w:r>
            <w:r>
              <w:rPr>
                <w:rFonts w:ascii="Times New Roman" w:hAnsi="Times New Roman" w:eastAsia="Times New Roman" w:cs="Times New Roman"/>
                <w:b/>
                <w:bCs/>
                <w:spacing w:val="-3"/>
              </w:rPr>
              <w:t>×</w:t>
            </w:r>
            <w:r>
              <w:rPr>
                <w:rFonts w:ascii="Times New Roman" w:hAnsi="Times New Roman" w:eastAsia="Times New Roman" w:cs="Times New Roman"/>
                <w:b/>
                <w:bCs/>
                <w:spacing w:val="-28"/>
              </w:rPr>
              <w:t xml:space="preserve"> </w:t>
            </w:r>
            <w:r>
              <w:rPr>
                <w:spacing w:val="-3"/>
                <w14:textOutline w14:w="3263" w14:cap="sq" w14:cmpd="sng" w14:algn="ctr">
                  <w14:solidFill>
                    <w14:srgbClr w14:val="000000"/>
                  </w14:solidFill>
                  <w14:prstDash w14:val="solid"/>
                  <w14:bevel/>
                </w14:textOutline>
              </w:rPr>
              <w:t>宽</w:t>
            </w:r>
            <w:r>
              <w:rPr>
                <w:rFonts w:ascii="Times New Roman" w:hAnsi="Times New Roman" w:eastAsia="Times New Roman" w:cs="Times New Roman"/>
                <w:b/>
                <w:bCs/>
                <w:spacing w:val="-3"/>
              </w:rPr>
              <w:t>×</w:t>
            </w:r>
            <w:r>
              <w:rPr>
                <w:spacing w:val="-3"/>
                <w14:textOutline w14:w="3263" w14:cap="sq" w14:cmpd="sng" w14:algn="ctr">
                  <w14:solidFill>
                    <w14:srgbClr w14:val="000000"/>
                  </w14:solidFill>
                  <w14:prstDash w14:val="solid"/>
                  <w14:bevel/>
                </w14:textOutline>
              </w:rPr>
              <w:t>高</w:t>
            </w:r>
            <w:r>
              <w:rPr>
                <w:rFonts w:ascii="Times New Roman" w:hAnsi="Times New Roman" w:eastAsia="Times New Roman" w:cs="Times New Roman"/>
                <w:b/>
                <w:bCs/>
                <w:spacing w:val="-3"/>
              </w:rPr>
              <w:t>(m)</w:t>
            </w:r>
          </w:p>
        </w:tc>
        <w:tc>
          <w:tcPr>
            <w:tcW w:w="250" w:type="pct"/>
            <w:vAlign w:val="center"/>
          </w:tcPr>
          <w:p>
            <w:pPr>
              <w:pStyle w:val="243"/>
              <w:spacing w:before="148" w:line="212" w:lineRule="auto"/>
              <w:jc w:val="center"/>
              <w:rPr>
                <w:rFonts w:ascii="Times New Roman" w:hAnsi="Times New Roman" w:eastAsia="Times New Roman" w:cs="Times New Roman"/>
              </w:rPr>
            </w:pPr>
            <w:r>
              <w:rPr>
                <w:spacing w:val="-2"/>
                <w14:textOutline w14:w="3263" w14:cap="sq" w14:cmpd="sng" w14:algn="ctr">
                  <w14:solidFill>
                    <w14:srgbClr w14:val="000000"/>
                  </w14:solidFill>
                  <w14:prstDash w14:val="solid"/>
                  <w14:bevel/>
                </w14:textOutline>
              </w:rPr>
              <w:t>容积</w:t>
            </w:r>
            <w:r>
              <w:rPr>
                <w:rFonts w:ascii="Times New Roman" w:hAnsi="Times New Roman" w:eastAsia="Times New Roman" w:cs="Times New Roman"/>
                <w:b/>
                <w:bCs/>
                <w:spacing w:val="-2"/>
              </w:rPr>
              <w:t>(m3)</w:t>
            </w:r>
          </w:p>
        </w:tc>
        <w:tc>
          <w:tcPr>
            <w:tcW w:w="845" w:type="pct"/>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池壁材质</w:t>
            </w:r>
          </w:p>
        </w:tc>
        <w:tc>
          <w:tcPr>
            <w:tcW w:w="482" w:type="pct"/>
            <w:vAlign w:val="center"/>
          </w:tcPr>
          <w:p>
            <w:pPr>
              <w:pStyle w:val="243"/>
              <w:spacing w:before="148" w:line="219" w:lineRule="auto"/>
              <w:jc w:val="center"/>
            </w:pPr>
            <w:r>
              <w:rPr>
                <w:spacing w:val="-5"/>
                <w14:textOutline w14:w="3263" w14:cap="sq" w14:cmpd="sng" w14:algn="ctr">
                  <w14:solidFill>
                    <w14:srgbClr w14:val="000000"/>
                  </w14:solidFill>
                  <w14:prstDash w14:val="solid"/>
                  <w14:bevel/>
                </w14:textOutline>
              </w:rPr>
              <w:t>附属设施</w:t>
            </w:r>
          </w:p>
        </w:tc>
        <w:tc>
          <w:tcPr>
            <w:tcW w:w="672" w:type="pct"/>
            <w:gridSpan w:val="2"/>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泵房隔音</w:t>
            </w:r>
          </w:p>
        </w:tc>
        <w:tc>
          <w:tcPr>
            <w:tcW w:w="466" w:type="pct"/>
            <w:gridSpan w:val="2"/>
            <w:vAlign w:val="center"/>
          </w:tcPr>
          <w:p>
            <w:pPr>
              <w:pStyle w:val="243"/>
              <w:spacing w:before="148" w:line="219" w:lineRule="auto"/>
              <w:jc w:val="center"/>
            </w:pPr>
            <w:r>
              <w:rPr>
                <w:spacing w:val="-2"/>
                <w14:textOutline w14:w="3263" w14:cap="sq" w14:cmpd="sng" w14:algn="ctr">
                  <w14:solidFill>
                    <w14:srgbClr w14:val="000000"/>
                  </w14:solidFill>
                  <w14:prstDash w14:val="solid"/>
                  <w14:bevel/>
                </w14:textOutline>
              </w:rPr>
              <w:t>泵房尺寸</w:t>
            </w:r>
          </w:p>
        </w:tc>
        <w:tc>
          <w:tcPr>
            <w:tcW w:w="601" w:type="pct"/>
            <w:gridSpan w:val="2"/>
            <w:vAlign w:val="center"/>
          </w:tcPr>
          <w:p>
            <w:pPr>
              <w:pStyle w:val="243"/>
              <w:spacing w:before="148" w:line="219" w:lineRule="auto"/>
              <w:jc w:val="center"/>
            </w:pPr>
            <w:r>
              <w:rPr>
                <w:spacing w:val="-1"/>
                <w14:textOutline w14:w="3263" w14:cap="sq" w14:cmpd="sng" w14:algn="ctr">
                  <w14:solidFill>
                    <w14:srgbClr w14:val="000000"/>
                  </w14:solidFill>
                  <w14:prstDash w14:val="solid"/>
                  <w14:bevel/>
                </w14:textOutline>
              </w:rPr>
              <w:t>泵房内装饰情况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27" w:type="pct"/>
            <w:vMerge w:val="continue"/>
            <w:tcBorders>
              <w:top w:val="nil"/>
              <w:bottom w:val="nil"/>
            </w:tcBorders>
            <w:textDirection w:val="tbRlV"/>
            <w:vAlign w:val="center"/>
          </w:tcPr>
          <w:p>
            <w:pPr>
              <w:jc w:val="center"/>
              <w:rPr>
                <w:rFonts w:ascii="Arial"/>
              </w:rPr>
            </w:pPr>
          </w:p>
        </w:tc>
        <w:tc>
          <w:tcPr>
            <w:tcW w:w="372" w:type="pct"/>
            <w:vMerge w:val="restart"/>
            <w:tcBorders>
              <w:bottom w:val="nil"/>
            </w:tcBorders>
            <w:vAlign w:val="center"/>
          </w:tcPr>
          <w:p>
            <w:pPr>
              <w:pStyle w:val="243"/>
              <w:spacing w:before="58" w:line="219" w:lineRule="auto"/>
              <w:rPr>
                <w:lang w:eastAsia="zh-CN"/>
              </w:rPr>
            </w:pPr>
            <w:r>
              <w:rPr>
                <w:spacing w:val="-1"/>
                <w14:textOutline w14:w="3263" w14:cap="sq" w14:cmpd="sng" w14:algn="ctr">
                  <w14:solidFill>
                    <w14:srgbClr w14:val="000000"/>
                  </w14:solidFill>
                  <w14:prstDash w14:val="solid"/>
                  <w14:bevel/>
                </w14:textOutline>
              </w:rPr>
              <w:t>泵前</w:t>
            </w:r>
            <w:r>
              <w:rPr>
                <w:rFonts w:hint="eastAsia"/>
                <w:spacing w:val="-1"/>
                <w:lang w:eastAsia="zh-CN"/>
                <w14:textOutline w14:w="3263" w14:cap="sq" w14:cmpd="sng" w14:algn="ctr">
                  <w14:solidFill>
                    <w14:srgbClr w14:val="000000"/>
                  </w14:solidFill>
                  <w14:prstDash w14:val="solid"/>
                  <w14:bevel/>
                </w14:textOutline>
              </w:rPr>
              <w:t>水池（箱）</w:t>
            </w:r>
          </w:p>
        </w:tc>
        <w:tc>
          <w:tcPr>
            <w:tcW w:w="153" w:type="pct"/>
            <w:vMerge w:val="restart"/>
            <w:tcBorders>
              <w:bottom w:val="nil"/>
            </w:tcBorders>
            <w:vAlign w:val="center"/>
          </w:tcPr>
          <w:p>
            <w:pPr>
              <w:rPr>
                <w:rFonts w:ascii="Arial"/>
              </w:rPr>
            </w:pPr>
          </w:p>
        </w:tc>
        <w:tc>
          <w:tcPr>
            <w:tcW w:w="371" w:type="pct"/>
            <w:vAlign w:val="center"/>
          </w:tcPr>
          <w:p>
            <w:pPr>
              <w:pStyle w:val="243"/>
              <w:spacing w:before="146" w:line="219" w:lineRule="auto"/>
              <w:rPr>
                <w:rFonts w:ascii="Times New Roman" w:hAnsi="Times New Roman" w:cs="Times New Roman"/>
                <w:lang w:eastAsia="zh-CN"/>
              </w:rPr>
            </w:pPr>
            <w:r>
              <w:rPr>
                <w:spacing w:val="-1"/>
                <w14:textOutline w14:w="3263" w14:cap="sq" w14:cmpd="sng" w14:algn="ctr">
                  <w14:solidFill>
                    <w14:srgbClr w14:val="000000"/>
                  </w14:solidFill>
                  <w14:prstDash w14:val="solid"/>
                  <w14:bevel/>
                </w14:textOutline>
              </w:rPr>
              <w:t>进水</w:t>
            </w:r>
            <w:r>
              <w:rPr>
                <w:rFonts w:ascii="Times New Roman" w:hAnsi="Times New Roman" w:eastAsia="Times New Roman" w:cs="Times New Roman"/>
                <w:b/>
                <w:bCs/>
                <w:spacing w:val="-1"/>
              </w:rPr>
              <w:t>:</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1"/>
                <w14:textOutline w14:w="3263" w14:cap="sq" w14:cmpd="sng" w14:algn="ctr">
                  <w14:solidFill>
                    <w14:srgbClr w14:val="000000"/>
                  </w14:solidFill>
                  <w14:prstDash w14:val="solid"/>
                  <w14:bevel/>
                </w14:textOutline>
              </w:rPr>
              <w:t>路</w:t>
            </w:r>
          </w:p>
        </w:tc>
        <w:tc>
          <w:tcPr>
            <w:tcW w:w="237" w:type="pct"/>
            <w:vMerge w:val="restart"/>
            <w:tcBorders>
              <w:bottom w:val="nil"/>
            </w:tcBorders>
            <w:vAlign w:val="center"/>
          </w:tcPr>
          <w:p>
            <w:pPr>
              <w:pStyle w:val="243"/>
              <w:spacing w:before="59" w:line="220" w:lineRule="auto"/>
              <w:rPr>
                <w:lang w:eastAsia="zh-CN"/>
              </w:rPr>
            </w:pPr>
            <w:r>
              <w:rPr>
                <w:rFonts w:hint="eastAsia" w:ascii="Times New Roman" w:hAnsi="Times New Roman" w:cs="Times New Roman"/>
                <w:b/>
                <w:bCs/>
                <w:spacing w:val="-7"/>
                <w:lang w:eastAsia="zh-CN"/>
              </w:rPr>
              <w:t>□</w:t>
            </w:r>
            <w:r>
              <w:rPr>
                <w:spacing w:val="-7"/>
                <w:lang w:eastAsia="zh-CN"/>
                <w14:textOutline w14:w="3263" w14:cap="sq" w14:cmpd="sng" w14:algn="ctr">
                  <w14:solidFill>
                    <w14:srgbClr w14:val="000000"/>
                  </w14:solidFill>
                  <w14:prstDash w14:val="solid"/>
                  <w14:bevel/>
                </w14:textOutline>
              </w:rPr>
              <w:t>无</w:t>
            </w:r>
          </w:p>
          <w:p>
            <w:pPr>
              <w:pStyle w:val="243"/>
              <w:spacing w:before="253" w:line="436" w:lineRule="exact"/>
              <w:rPr>
                <w:lang w:eastAsia="zh-CN"/>
              </w:rPr>
            </w:pPr>
            <w:r>
              <w:rPr>
                <w:rFonts w:hint="eastAsia" w:ascii="Times New Roman" w:hAnsi="Times New Roman" w:cs="Times New Roman"/>
                <w:b/>
                <w:bCs/>
                <w:spacing w:val="-3"/>
                <w:position w:val="19"/>
                <w:lang w:eastAsia="zh-CN"/>
              </w:rPr>
              <w:t>□</w:t>
            </w:r>
            <w:r>
              <w:rPr>
                <w:spacing w:val="-3"/>
                <w:position w:val="19"/>
                <w:lang w:eastAsia="zh-CN"/>
                <w14:textOutline w14:w="3263" w14:cap="sq" w14:cmpd="sng" w14:algn="ctr">
                  <w14:solidFill>
                    <w14:srgbClr w14:val="000000"/>
                  </w14:solidFill>
                  <w14:prstDash w14:val="solid"/>
                  <w14:bevel/>
                </w14:textOutline>
              </w:rPr>
              <w:t>液压阀</w:t>
            </w:r>
          </w:p>
          <w:p>
            <w:pPr>
              <w:pStyle w:val="243"/>
              <w:spacing w:line="242" w:lineRule="exact"/>
              <w:rPr>
                <w:lang w:eastAsia="zh-CN"/>
              </w:rPr>
            </w:pPr>
            <w:r>
              <w:rPr>
                <w:rFonts w:hint="eastAsia" w:ascii="Times New Roman" w:hAnsi="Times New Roman" w:cs="Times New Roman"/>
                <w:b/>
                <w:bCs/>
                <w:spacing w:val="-2"/>
                <w:lang w:eastAsia="zh-CN"/>
              </w:rPr>
              <w:t>□</w:t>
            </w:r>
            <w:r>
              <w:rPr>
                <w:spacing w:val="-2"/>
                <w:lang w:eastAsia="zh-CN"/>
                <w14:textOutline w14:w="3263" w14:cap="sq" w14:cmpd="sng" w14:algn="ctr">
                  <w14:solidFill>
                    <w14:srgbClr w14:val="000000"/>
                  </w14:solidFill>
                  <w14:prstDash w14:val="solid"/>
                  <w14:bevel/>
                </w14:textOutline>
              </w:rPr>
              <w:t>浮球阀</w:t>
            </w:r>
          </w:p>
        </w:tc>
        <w:tc>
          <w:tcPr>
            <w:tcW w:w="418" w:type="pct"/>
            <w:gridSpan w:val="2"/>
            <w:vMerge w:val="restart"/>
            <w:tcBorders>
              <w:bottom w:val="nil"/>
            </w:tcBorders>
            <w:vAlign w:val="center"/>
          </w:tcPr>
          <w:p>
            <w:pPr>
              <w:rPr>
                <w:rFonts w:ascii="Arial"/>
              </w:rPr>
            </w:pPr>
          </w:p>
        </w:tc>
        <w:tc>
          <w:tcPr>
            <w:tcW w:w="250" w:type="pct"/>
            <w:vMerge w:val="restart"/>
            <w:tcBorders>
              <w:bottom w:val="nil"/>
            </w:tcBorders>
            <w:vAlign w:val="center"/>
          </w:tcPr>
          <w:p>
            <w:pPr>
              <w:rPr>
                <w:rFonts w:ascii="Arial"/>
              </w:rPr>
            </w:pPr>
          </w:p>
        </w:tc>
        <w:tc>
          <w:tcPr>
            <w:tcW w:w="845" w:type="pct"/>
            <w:vMerge w:val="restart"/>
            <w:tcBorders>
              <w:bottom w:val="nil"/>
            </w:tcBorders>
            <w:vAlign w:val="center"/>
          </w:tcPr>
          <w:p>
            <w:pPr>
              <w:pStyle w:val="243"/>
              <w:spacing w:before="58" w:line="219" w:lineRule="auto"/>
              <w:rPr>
                <w:lang w:eastAsia="zh-CN"/>
              </w:rPr>
            </w:pP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瓷砖</w:t>
            </w:r>
            <w:r>
              <w:rPr>
                <w:spacing w:val="-1"/>
                <w:lang w:eastAsia="zh-CN"/>
              </w:rPr>
              <w:t xml:space="preserve"> </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不锈钢内衬</w:t>
            </w:r>
            <w:r>
              <w:rPr>
                <w:rFonts w:hint="eastAsia" w:ascii="Times New Roman" w:hAnsi="Times New Roman" w:cs="Times New Roman"/>
                <w:spacing w:val="-1"/>
                <w:lang w:eastAsia="zh-CN"/>
              </w:rPr>
              <w:t>□</w:t>
            </w:r>
            <w:r>
              <w:rPr>
                <w:spacing w:val="-1"/>
                <w:lang w:eastAsia="zh-CN"/>
              </w:rPr>
              <w:t>不锈钢水箱</w:t>
            </w:r>
          </w:p>
        </w:tc>
        <w:tc>
          <w:tcPr>
            <w:tcW w:w="482" w:type="pct"/>
            <w:vMerge w:val="restart"/>
            <w:tcBorders>
              <w:bottom w:val="nil"/>
            </w:tcBorders>
            <w:vAlign w:val="center"/>
          </w:tcPr>
          <w:p>
            <w:pPr>
              <w:pStyle w:val="243"/>
              <w:spacing w:before="59" w:line="220" w:lineRule="auto"/>
              <w:rPr>
                <w:lang w:eastAsia="zh-CN"/>
              </w:rPr>
            </w:pPr>
            <w:r>
              <w:rPr>
                <w:spacing w:val="-2"/>
                <w:lang w:eastAsia="zh-CN"/>
                <w14:textOutline w14:w="3263" w14:cap="sq" w14:cmpd="sng" w14:algn="ctr">
                  <w14:solidFill>
                    <w14:srgbClr w14:val="000000"/>
                  </w14:solidFill>
                  <w14:prstDash w14:val="solid"/>
                  <w14:bevel/>
                </w14:textOutline>
              </w:rPr>
              <w:t>透气孔：</w:t>
            </w:r>
            <w:r>
              <w:rPr>
                <w:rFonts w:hint="eastAsia" w:ascii="Times New Roman" w:hAnsi="Times New Roman" w:cs="Times New Roman"/>
                <w:spacing w:val="-2"/>
                <w:lang w:eastAsia="zh-CN"/>
              </w:rPr>
              <w:t>□</w:t>
            </w:r>
            <w:r>
              <w:rPr>
                <w:spacing w:val="-2"/>
                <w:lang w:eastAsia="zh-CN"/>
              </w:rPr>
              <w:t>无</w:t>
            </w:r>
            <w:r>
              <w:rPr>
                <w:spacing w:val="11"/>
                <w:lang w:eastAsia="zh-CN"/>
              </w:rPr>
              <w:t xml:space="preserve"> </w:t>
            </w:r>
            <w:r>
              <w:rPr>
                <w:rFonts w:hint="eastAsia" w:ascii="Times New Roman" w:hAnsi="Times New Roman" w:cs="Times New Roman"/>
                <w:spacing w:val="-2"/>
                <w:lang w:eastAsia="zh-CN"/>
              </w:rPr>
              <w:t>□</w:t>
            </w:r>
            <w:r>
              <w:rPr>
                <w:spacing w:val="-2"/>
                <w:lang w:eastAsia="zh-CN"/>
              </w:rPr>
              <w:t>有</w:t>
            </w:r>
          </w:p>
          <w:p>
            <w:pPr>
              <w:pStyle w:val="243"/>
              <w:spacing w:before="253" w:line="220" w:lineRule="auto"/>
              <w:rPr>
                <w:lang w:eastAsia="zh-CN"/>
              </w:rPr>
            </w:pPr>
            <w:r>
              <w:rPr>
                <w:spacing w:val="-5"/>
                <w:lang w:eastAsia="zh-CN"/>
                <w14:textOutline w14:w="3263" w14:cap="sq" w14:cmpd="sng" w14:algn="ctr">
                  <w14:solidFill>
                    <w14:srgbClr w14:val="000000"/>
                  </w14:solidFill>
                  <w14:prstDash w14:val="solid"/>
                  <w14:bevel/>
                </w14:textOutline>
              </w:rPr>
              <w:t>溢流孔：</w:t>
            </w:r>
            <w:r>
              <w:rPr>
                <w:spacing w:val="18"/>
                <w:lang w:eastAsia="zh-CN"/>
              </w:rPr>
              <w:t xml:space="preserve"> </w:t>
            </w:r>
            <w:r>
              <w:rPr>
                <w:rFonts w:hint="eastAsia" w:ascii="Times New Roman" w:hAnsi="Times New Roman" w:cs="Times New Roman"/>
                <w:spacing w:val="-5"/>
                <w:lang w:eastAsia="zh-CN"/>
              </w:rPr>
              <w:t>□</w:t>
            </w:r>
            <w:r>
              <w:rPr>
                <w:spacing w:val="-5"/>
                <w:lang w:eastAsia="zh-CN"/>
              </w:rPr>
              <w:t>无</w:t>
            </w:r>
            <w:r>
              <w:rPr>
                <w:spacing w:val="14"/>
                <w:lang w:eastAsia="zh-CN"/>
              </w:rPr>
              <w:t xml:space="preserve"> </w:t>
            </w:r>
            <w:r>
              <w:rPr>
                <w:rFonts w:hint="eastAsia" w:ascii="Times New Roman" w:hAnsi="Times New Roman" w:cs="Times New Roman"/>
                <w:spacing w:val="-5"/>
                <w:lang w:eastAsia="zh-CN"/>
              </w:rPr>
              <w:t>□</w:t>
            </w:r>
            <w:r>
              <w:rPr>
                <w:spacing w:val="-5"/>
                <w:lang w:eastAsia="zh-CN"/>
              </w:rPr>
              <w:t>有</w:t>
            </w:r>
          </w:p>
          <w:p>
            <w:pPr>
              <w:pStyle w:val="243"/>
              <w:spacing w:before="253" w:line="219" w:lineRule="auto"/>
            </w:pPr>
            <w:r>
              <w:rPr>
                <w:spacing w:val="-3"/>
                <w14:textOutline w14:w="3263" w14:cap="sq" w14:cmpd="sng" w14:algn="ctr">
                  <w14:solidFill>
                    <w14:srgbClr w14:val="000000"/>
                  </w14:solidFill>
                  <w14:prstDash w14:val="solid"/>
                  <w14:bevel/>
                </w14:textOutline>
              </w:rPr>
              <w:t>排水孔：</w:t>
            </w:r>
            <w:r>
              <w:rPr>
                <w:rFonts w:hint="eastAsia" w:ascii="Times New Roman" w:hAnsi="Times New Roman" w:cs="Times New Roman"/>
                <w:spacing w:val="-3"/>
                <w:lang w:eastAsia="zh-CN"/>
              </w:rPr>
              <w:t>□</w:t>
            </w:r>
            <w:r>
              <w:rPr>
                <w:spacing w:val="-3"/>
              </w:rPr>
              <w:t>无</w:t>
            </w:r>
            <w:r>
              <w:rPr>
                <w:spacing w:val="18"/>
              </w:rPr>
              <w:t xml:space="preserve"> </w:t>
            </w:r>
            <w:r>
              <w:rPr>
                <w:rFonts w:hint="eastAsia" w:ascii="Times New Roman" w:hAnsi="Times New Roman" w:cs="Times New Roman"/>
                <w:spacing w:val="-3"/>
                <w:lang w:eastAsia="zh-CN"/>
              </w:rPr>
              <w:t>□</w:t>
            </w:r>
            <w:r>
              <w:rPr>
                <w:spacing w:val="-3"/>
              </w:rPr>
              <w:t>有</w:t>
            </w:r>
          </w:p>
        </w:tc>
        <w:tc>
          <w:tcPr>
            <w:tcW w:w="672" w:type="pct"/>
            <w:gridSpan w:val="2"/>
            <w:vMerge w:val="restart"/>
            <w:tcBorders>
              <w:bottom w:val="nil"/>
            </w:tcBorders>
            <w:vAlign w:val="center"/>
          </w:tcPr>
          <w:p>
            <w:pPr>
              <w:pStyle w:val="243"/>
              <w:spacing w:before="59" w:line="219" w:lineRule="auto"/>
              <w:rPr>
                <w:rFonts w:ascii="Arial"/>
                <w:sz w:val="21"/>
              </w:rPr>
            </w:pPr>
            <w:r>
              <w:rPr>
                <w:rFonts w:ascii="Times New Roman" w:hAnsi="Times New Roman" w:eastAsia="Times New Roman" w:cs="Times New Roman"/>
                <w:b/>
                <w:bCs/>
                <w:spacing w:val="-7"/>
              </w:rPr>
              <w:t>□</w:t>
            </w:r>
            <w:r>
              <w:rPr>
                <w:spacing w:val="-7"/>
                <w14:textOutline w14:w="3263" w14:cap="sq" w14:cmpd="sng" w14:algn="ctr">
                  <w14:solidFill>
                    <w14:srgbClr w14:val="000000"/>
                  </w14:solidFill>
                  <w14:prstDash w14:val="solid"/>
                  <w14:bevel/>
                </w14:textOutline>
              </w:rPr>
              <w:t>优</w:t>
            </w:r>
          </w:p>
          <w:p>
            <w:pPr>
              <w:pStyle w:val="243"/>
              <w:spacing w:before="58" w:line="221" w:lineRule="auto"/>
              <w:rPr>
                <w:rFonts w:ascii="Arial"/>
                <w:sz w:val="21"/>
              </w:rPr>
            </w:pPr>
            <w:r>
              <w:rPr>
                <w:rFonts w:ascii="Times New Roman" w:hAnsi="Times New Roman" w:eastAsia="Times New Roman" w:cs="Times New Roman"/>
                <w:b/>
                <w:bCs/>
                <w:spacing w:val="-3"/>
              </w:rPr>
              <w:t>□</w:t>
            </w:r>
            <w:r>
              <w:rPr>
                <w:spacing w:val="-3"/>
                <w14:textOutline w14:w="3263" w14:cap="sq" w14:cmpd="sng" w14:algn="ctr">
                  <w14:solidFill>
                    <w14:srgbClr w14:val="000000"/>
                  </w14:solidFill>
                  <w14:prstDash w14:val="solid"/>
                  <w14:bevel/>
                </w14:textOutline>
              </w:rPr>
              <w:t>一般</w:t>
            </w:r>
          </w:p>
          <w:p>
            <w:pPr>
              <w:pStyle w:val="243"/>
              <w:spacing w:before="59" w:line="227" w:lineRule="auto"/>
            </w:pPr>
            <w:r>
              <w:rPr>
                <w:rFonts w:ascii="Times New Roman" w:hAnsi="Times New Roman" w:eastAsia="Times New Roman" w:cs="Times New Roman"/>
                <w:b/>
                <w:bCs/>
                <w:spacing w:val="-7"/>
              </w:rPr>
              <w:t>□</w:t>
            </w:r>
            <w:r>
              <w:rPr>
                <w:spacing w:val="-7"/>
                <w14:textOutline w14:w="3263" w14:cap="sq" w14:cmpd="sng" w14:algn="ctr">
                  <w14:solidFill>
                    <w14:srgbClr w14:val="000000"/>
                  </w14:solidFill>
                  <w14:prstDash w14:val="solid"/>
                  <w14:bevel/>
                </w14:textOutline>
              </w:rPr>
              <w:t>差</w:t>
            </w:r>
          </w:p>
        </w:tc>
        <w:tc>
          <w:tcPr>
            <w:tcW w:w="313" w:type="pct"/>
            <w:vMerge w:val="restart"/>
            <w:tcBorders>
              <w:bottom w:val="nil"/>
            </w:tcBorders>
            <w:vAlign w:val="center"/>
          </w:tcPr>
          <w:p>
            <w:pPr>
              <w:pStyle w:val="243"/>
              <w:spacing w:before="58" w:line="219" w:lineRule="auto"/>
            </w:pPr>
            <w:r>
              <w:rPr>
                <w:spacing w:val="-5"/>
                <w14:textOutline w14:w="3263" w14:cap="sq" w14:cmpd="sng" w14:algn="ctr">
                  <w14:solidFill>
                    <w14:srgbClr w14:val="000000"/>
                  </w14:solidFill>
                  <w14:prstDash w14:val="solid"/>
                  <w14:bevel/>
                </w14:textOutline>
              </w:rPr>
              <w:t>长</w:t>
            </w:r>
            <w:r>
              <w:rPr>
                <w:rFonts w:ascii="Times New Roman" w:hAnsi="Times New Roman" w:eastAsia="Times New Roman" w:cs="Times New Roman"/>
                <w:b/>
                <w:bCs/>
                <w:spacing w:val="-5"/>
              </w:rPr>
              <w:t>×</w:t>
            </w:r>
            <w:r>
              <w:rPr>
                <w:rFonts w:ascii="Times New Roman" w:hAnsi="Times New Roman" w:eastAsia="Times New Roman" w:cs="Times New Roman"/>
                <w:b/>
                <w:bCs/>
                <w:spacing w:val="-28"/>
              </w:rPr>
              <w:t xml:space="preserve"> </w:t>
            </w:r>
            <w:r>
              <w:rPr>
                <w:spacing w:val="-5"/>
                <w14:textOutline w14:w="3263" w14:cap="sq" w14:cmpd="sng" w14:algn="ctr">
                  <w14:solidFill>
                    <w14:srgbClr w14:val="000000"/>
                  </w14:solidFill>
                  <w14:prstDash w14:val="solid"/>
                  <w14:bevel/>
                </w14:textOutline>
              </w:rPr>
              <w:t>宽</w:t>
            </w:r>
            <w:r>
              <w:rPr>
                <w:rFonts w:ascii="Times New Roman" w:hAnsi="Times New Roman" w:eastAsia="Times New Roman" w:cs="Times New Roman"/>
                <w:b/>
                <w:bCs/>
                <w:spacing w:val="-5"/>
              </w:rPr>
              <w:t>×</w:t>
            </w:r>
            <w:r>
              <w:rPr>
                <w:spacing w:val="-5"/>
                <w14:textOutline w14:w="3263" w14:cap="sq" w14:cmpd="sng" w14:algn="ctr">
                  <w14:solidFill>
                    <w14:srgbClr w14:val="000000"/>
                  </w14:solidFill>
                  <w14:prstDash w14:val="solid"/>
                  <w14:bevel/>
                </w14:textOutline>
              </w:rPr>
              <w:t>高</w:t>
            </w:r>
          </w:p>
        </w:tc>
        <w:tc>
          <w:tcPr>
            <w:tcW w:w="152" w:type="pct"/>
            <w:vMerge w:val="restart"/>
            <w:tcBorders>
              <w:bottom w:val="nil"/>
            </w:tcBorders>
            <w:vAlign w:val="center"/>
          </w:tcPr>
          <w:p>
            <w:pPr>
              <w:pStyle w:val="243"/>
              <w:spacing w:before="59" w:line="220" w:lineRule="auto"/>
            </w:pPr>
            <w:r>
              <w:rPr>
                <w:spacing w:val="-4"/>
                <w14:textOutline w14:w="3263" w14:cap="sq" w14:cmpd="sng" w14:algn="ctr">
                  <w14:solidFill>
                    <w14:srgbClr w14:val="000000"/>
                  </w14:solidFill>
                  <w14:prstDash w14:val="solid"/>
                  <w14:bevel/>
                </w14:textOutline>
              </w:rPr>
              <w:t>面积</w:t>
            </w:r>
          </w:p>
        </w:tc>
        <w:tc>
          <w:tcPr>
            <w:tcW w:w="322" w:type="pct"/>
            <w:vMerge w:val="restart"/>
            <w:tcBorders>
              <w:bottom w:val="nil"/>
            </w:tcBorders>
            <w:vAlign w:val="center"/>
          </w:tcPr>
          <w:p>
            <w:pPr>
              <w:pStyle w:val="243"/>
              <w:spacing w:before="146" w:line="468" w:lineRule="exact"/>
              <w:rPr>
                <w:lang w:eastAsia="zh-CN"/>
              </w:rPr>
            </w:pPr>
            <w:r>
              <w:rPr>
                <w:spacing w:val="-3"/>
                <w:position w:val="22"/>
                <w:lang w:eastAsia="zh-CN"/>
                <w14:textOutline w14:w="3263" w14:cap="sq" w14:cmpd="sng" w14:algn="ctr">
                  <w14:solidFill>
                    <w14:srgbClr w14:val="000000"/>
                  </w14:solidFill>
                  <w14:prstDash w14:val="solid"/>
                  <w14:bevel/>
                </w14:textOutline>
              </w:rPr>
              <w:t>墙体：</w:t>
            </w:r>
          </w:p>
          <w:p>
            <w:pPr>
              <w:pStyle w:val="243"/>
              <w:spacing w:line="221" w:lineRule="auto"/>
              <w:rPr>
                <w:lang w:eastAsia="zh-CN"/>
              </w:rPr>
            </w:pPr>
            <w:r>
              <w:rPr>
                <w:rFonts w:hint="eastAsia" w:ascii="Times New Roman" w:hAnsi="Times New Roman" w:cs="Times New Roman"/>
                <w:b/>
                <w:bCs/>
                <w:spacing w:val="-5"/>
                <w:lang w:eastAsia="zh-CN"/>
              </w:rPr>
              <w:t>□</w:t>
            </w:r>
            <w:r>
              <w:rPr>
                <w:spacing w:val="-5"/>
                <w:lang w:eastAsia="zh-CN"/>
                <w14:textOutline w14:w="3263" w14:cap="sq" w14:cmpd="sng" w14:algn="ctr">
                  <w14:solidFill>
                    <w14:srgbClr w14:val="000000"/>
                  </w14:solidFill>
                  <w14:prstDash w14:val="solid"/>
                  <w14:bevel/>
                </w14:textOutline>
              </w:rPr>
              <w:t>整洁</w:t>
            </w:r>
          </w:p>
          <w:p>
            <w:pPr>
              <w:pStyle w:val="243"/>
              <w:spacing w:before="251" w:line="221" w:lineRule="auto"/>
              <w:rPr>
                <w:lang w:eastAsia="zh-CN"/>
              </w:rPr>
            </w:pPr>
            <w:r>
              <w:rPr>
                <w:rFonts w:hint="eastAsia" w:ascii="Times New Roman" w:hAnsi="Times New Roman" w:cs="Times New Roman"/>
                <w:b/>
                <w:bCs/>
                <w:spacing w:val="-3"/>
                <w:lang w:eastAsia="zh-CN"/>
              </w:rPr>
              <w:t>□</w:t>
            </w:r>
            <w:r>
              <w:rPr>
                <w:spacing w:val="-3"/>
                <w:lang w:eastAsia="zh-CN"/>
                <w14:textOutline w14:w="3263" w14:cap="sq" w14:cmpd="sng" w14:algn="ctr">
                  <w14:solidFill>
                    <w14:srgbClr w14:val="000000"/>
                  </w14:solidFill>
                  <w14:prstDash w14:val="solid"/>
                  <w14:bevel/>
                </w14:textOutline>
              </w:rPr>
              <w:t>墙漆剥落</w:t>
            </w:r>
          </w:p>
          <w:p>
            <w:pPr>
              <w:pStyle w:val="243"/>
              <w:spacing w:before="253" w:line="219" w:lineRule="auto"/>
            </w:pPr>
            <w:r>
              <w:rPr>
                <w:rFonts w:hint="eastAsia" w:ascii="Times New Roman" w:hAnsi="Times New Roman" w:cs="Times New Roman"/>
                <w:b/>
                <w:bCs/>
                <w:spacing w:val="-3"/>
                <w:lang w:eastAsia="zh-CN"/>
              </w:rPr>
              <w:t>□</w:t>
            </w:r>
            <w:r>
              <w:rPr>
                <w:spacing w:val="-3"/>
                <w14:textOutline w14:w="3263" w14:cap="sq" w14:cmpd="sng" w14:algn="ctr">
                  <w14:solidFill>
                    <w14:srgbClr w14:val="000000"/>
                  </w14:solidFill>
                  <w14:prstDash w14:val="solid"/>
                  <w14:bevel/>
                </w14:textOutline>
              </w:rPr>
              <w:t>墙面渗水</w:t>
            </w:r>
          </w:p>
        </w:tc>
        <w:tc>
          <w:tcPr>
            <w:tcW w:w="278" w:type="pct"/>
            <w:vMerge w:val="restart"/>
            <w:tcBorders>
              <w:bottom w:val="nil"/>
            </w:tcBorders>
            <w:vAlign w:val="center"/>
          </w:tcPr>
          <w:p>
            <w:pPr>
              <w:widowControl/>
              <w:jc w:val="left"/>
              <w:rPr>
                <w:rFonts w:ascii="宋体" w:hAnsi="宋体" w:cs="宋体"/>
                <w:b/>
                <w:bCs/>
                <w:color w:val="000000"/>
                <w:kern w:val="0"/>
                <w:sz w:val="18"/>
                <w:szCs w:val="18"/>
                <w:lang w:bidi="ar"/>
              </w:rPr>
            </w:pPr>
            <w:r>
              <w:rPr>
                <w:rFonts w:hint="eastAsia" w:ascii="宋体" w:hAnsi="宋体" w:cs="宋体"/>
                <w:b/>
                <w:bCs/>
                <w:color w:val="000000"/>
                <w:kern w:val="0"/>
                <w:sz w:val="18"/>
                <w:szCs w:val="18"/>
                <w:lang w:bidi="ar"/>
              </w:rPr>
              <w:t>照明：</w:t>
            </w:r>
          </w:p>
          <w:p>
            <w:pPr>
              <w:widowControl/>
              <w:jc w:val="left"/>
            </w:pPr>
            <w:r>
              <w:rPr>
                <w:rFonts w:hint="eastAsia" w:ascii="Times New Roman" w:hAnsi="Times New Roman"/>
                <w:b/>
                <w:bCs/>
                <w:color w:val="000000"/>
                <w:kern w:val="0"/>
                <w:sz w:val="18"/>
                <w:szCs w:val="18"/>
                <w:lang w:bidi="ar"/>
              </w:rPr>
              <w:t>□</w:t>
            </w:r>
            <w:r>
              <w:rPr>
                <w:rFonts w:ascii="Times New Roman" w:hAnsi="Times New Roman"/>
                <w:b/>
                <w:bCs/>
                <w:color w:val="000000"/>
                <w:kern w:val="0"/>
                <w:sz w:val="18"/>
                <w:szCs w:val="18"/>
                <w:lang w:bidi="ar"/>
              </w:rPr>
              <w:t xml:space="preserve"> </w:t>
            </w:r>
            <w:r>
              <w:rPr>
                <w:rFonts w:hint="eastAsia" w:ascii="宋体" w:hAnsi="宋体" w:cs="宋体"/>
                <w:b/>
                <w:bCs/>
                <w:color w:val="000000"/>
                <w:kern w:val="0"/>
                <w:sz w:val="18"/>
                <w:szCs w:val="18"/>
                <w:lang w:bidi="ar"/>
              </w:rPr>
              <w:t xml:space="preserve">差 </w:t>
            </w:r>
          </w:p>
          <w:p>
            <w:pPr>
              <w:widowControl/>
              <w:jc w:val="left"/>
            </w:pPr>
            <w:r>
              <w:rPr>
                <w:rFonts w:hint="eastAsia" w:ascii="Times New Roman" w:hAnsi="Times New Roman"/>
                <w:color w:val="000000"/>
                <w:kern w:val="0"/>
                <w:sz w:val="18"/>
                <w:szCs w:val="18"/>
                <w:lang w:bidi="ar"/>
              </w:rPr>
              <w:t>□</w:t>
            </w:r>
            <w:r>
              <w:rPr>
                <w:rFonts w:hint="eastAsia" w:ascii="宋体" w:hAnsi="宋体" w:cs="宋体"/>
                <w:color w:val="000000"/>
                <w:kern w:val="0"/>
                <w:sz w:val="18"/>
                <w:szCs w:val="18"/>
                <w:lang w:bidi="ar"/>
              </w:rPr>
              <w:t>良好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27" w:type="pct"/>
            <w:vMerge w:val="continue"/>
            <w:tcBorders>
              <w:top w:val="nil"/>
              <w:bottom w:val="nil"/>
            </w:tcBorders>
            <w:textDirection w:val="tbRlV"/>
            <w:vAlign w:val="center"/>
          </w:tcPr>
          <w:p>
            <w:pPr>
              <w:jc w:val="center"/>
              <w:rPr>
                <w:rFonts w:ascii="Arial"/>
              </w:rPr>
            </w:pPr>
          </w:p>
        </w:tc>
        <w:tc>
          <w:tcPr>
            <w:tcW w:w="372" w:type="pct"/>
            <w:vMerge w:val="continue"/>
            <w:tcBorders>
              <w:top w:val="nil"/>
            </w:tcBorders>
            <w:vAlign w:val="center"/>
          </w:tcPr>
          <w:p>
            <w:pPr>
              <w:rPr>
                <w:rFonts w:ascii="Arial"/>
              </w:rPr>
            </w:pPr>
          </w:p>
        </w:tc>
        <w:tc>
          <w:tcPr>
            <w:tcW w:w="153" w:type="pct"/>
            <w:vMerge w:val="continue"/>
            <w:tcBorders>
              <w:top w:val="nil"/>
            </w:tcBorders>
            <w:vAlign w:val="center"/>
          </w:tcPr>
          <w:p>
            <w:pPr>
              <w:rPr>
                <w:rFonts w:ascii="Arial"/>
              </w:rPr>
            </w:pPr>
          </w:p>
        </w:tc>
        <w:tc>
          <w:tcPr>
            <w:tcW w:w="371" w:type="pct"/>
            <w:vAlign w:val="center"/>
          </w:tcPr>
          <w:p>
            <w:pPr>
              <w:pStyle w:val="243"/>
              <w:spacing w:before="59" w:line="219" w:lineRule="auto"/>
              <w:rPr>
                <w:rFonts w:ascii="Times New Roman" w:hAnsi="Times New Roman" w:cs="Times New Roman"/>
                <w:lang w:eastAsia="zh-CN"/>
              </w:rPr>
            </w:pPr>
            <w:r>
              <w:rPr>
                <w:spacing w:val="-2"/>
                <w14:textOutline w14:w="3263" w14:cap="sq" w14:cmpd="sng" w14:algn="ctr">
                  <w14:solidFill>
                    <w14:srgbClr w14:val="000000"/>
                  </w14:solidFill>
                  <w14:prstDash w14:val="solid"/>
                  <w14:bevel/>
                </w14:textOutline>
              </w:rPr>
              <w:t>出水</w:t>
            </w:r>
            <w:r>
              <w:rPr>
                <w:rFonts w:ascii="Times New Roman" w:hAnsi="Times New Roman" w:eastAsia="Times New Roman" w:cs="Times New Roman"/>
                <w:b/>
                <w:bCs/>
                <w:spacing w:val="-2"/>
              </w:rPr>
              <w:t>:</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2"/>
                <w14:textOutline w14:w="3263" w14:cap="sq" w14:cmpd="sng" w14:algn="ctr">
                  <w14:solidFill>
                    <w14:srgbClr w14:val="000000"/>
                  </w14:solidFill>
                  <w14:prstDash w14:val="solid"/>
                  <w14:bevel/>
                </w14:textOutline>
              </w:rPr>
              <w:t>路</w:t>
            </w:r>
          </w:p>
        </w:tc>
        <w:tc>
          <w:tcPr>
            <w:tcW w:w="237" w:type="pct"/>
            <w:vMerge w:val="continue"/>
            <w:tcBorders>
              <w:top w:val="nil"/>
            </w:tcBorders>
            <w:vAlign w:val="center"/>
          </w:tcPr>
          <w:p>
            <w:pPr>
              <w:rPr>
                <w:rFonts w:ascii="Arial"/>
              </w:rPr>
            </w:pPr>
          </w:p>
        </w:tc>
        <w:tc>
          <w:tcPr>
            <w:tcW w:w="418" w:type="pct"/>
            <w:gridSpan w:val="2"/>
            <w:vMerge w:val="continue"/>
            <w:tcBorders>
              <w:top w:val="nil"/>
            </w:tcBorders>
            <w:vAlign w:val="center"/>
          </w:tcPr>
          <w:p>
            <w:pPr>
              <w:rPr>
                <w:rFonts w:ascii="Arial"/>
              </w:rPr>
            </w:pPr>
          </w:p>
        </w:tc>
        <w:tc>
          <w:tcPr>
            <w:tcW w:w="250" w:type="pct"/>
            <w:vMerge w:val="continue"/>
            <w:tcBorders>
              <w:top w:val="nil"/>
            </w:tcBorders>
            <w:vAlign w:val="center"/>
          </w:tcPr>
          <w:p>
            <w:pPr>
              <w:rPr>
                <w:rFonts w:ascii="Arial"/>
              </w:rPr>
            </w:pPr>
          </w:p>
        </w:tc>
        <w:tc>
          <w:tcPr>
            <w:tcW w:w="845" w:type="pct"/>
            <w:vMerge w:val="continue"/>
            <w:tcBorders>
              <w:top w:val="nil"/>
            </w:tcBorders>
            <w:vAlign w:val="center"/>
          </w:tcPr>
          <w:p>
            <w:pPr>
              <w:rPr>
                <w:rFonts w:ascii="Arial"/>
              </w:rPr>
            </w:pPr>
          </w:p>
        </w:tc>
        <w:tc>
          <w:tcPr>
            <w:tcW w:w="482" w:type="pct"/>
            <w:vMerge w:val="continue"/>
            <w:tcBorders>
              <w:top w:val="nil"/>
            </w:tcBorders>
            <w:vAlign w:val="center"/>
          </w:tcPr>
          <w:p>
            <w:pPr>
              <w:rPr>
                <w:rFonts w:ascii="Arial"/>
              </w:rPr>
            </w:pPr>
          </w:p>
        </w:tc>
        <w:tc>
          <w:tcPr>
            <w:tcW w:w="672" w:type="pct"/>
            <w:gridSpan w:val="2"/>
            <w:vMerge w:val="continue"/>
            <w:tcBorders>
              <w:top w:val="nil"/>
              <w:bottom w:val="nil"/>
            </w:tcBorders>
            <w:vAlign w:val="center"/>
          </w:tcPr>
          <w:p>
            <w:pPr>
              <w:rPr>
                <w:rFonts w:ascii="Arial"/>
              </w:rPr>
            </w:pPr>
          </w:p>
        </w:tc>
        <w:tc>
          <w:tcPr>
            <w:tcW w:w="313" w:type="pct"/>
            <w:vMerge w:val="continue"/>
            <w:tcBorders>
              <w:top w:val="nil"/>
            </w:tcBorders>
            <w:vAlign w:val="center"/>
          </w:tcPr>
          <w:p>
            <w:pPr>
              <w:rPr>
                <w:rFonts w:ascii="Arial"/>
              </w:rPr>
            </w:pPr>
          </w:p>
        </w:tc>
        <w:tc>
          <w:tcPr>
            <w:tcW w:w="152" w:type="pct"/>
            <w:vMerge w:val="continue"/>
            <w:tcBorders>
              <w:top w:val="nil"/>
            </w:tcBorders>
            <w:vAlign w:val="center"/>
          </w:tcPr>
          <w:p>
            <w:pPr>
              <w:rPr>
                <w:rFonts w:ascii="Arial"/>
              </w:rPr>
            </w:pPr>
          </w:p>
        </w:tc>
        <w:tc>
          <w:tcPr>
            <w:tcW w:w="322" w:type="pct"/>
            <w:vMerge w:val="continue"/>
            <w:tcBorders>
              <w:top w:val="nil"/>
            </w:tcBorders>
            <w:vAlign w:val="center"/>
          </w:tcPr>
          <w:p>
            <w:pPr>
              <w:rPr>
                <w:rFonts w:ascii="Arial"/>
              </w:rPr>
            </w:pPr>
          </w:p>
        </w:tc>
        <w:tc>
          <w:tcPr>
            <w:tcW w:w="278" w:type="pct"/>
            <w:vMerge w:val="continue"/>
            <w:tcBorders>
              <w:top w:val="nil"/>
            </w:tcBorders>
            <w:vAlign w:val="center"/>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27" w:type="pct"/>
            <w:vMerge w:val="continue"/>
            <w:tcBorders>
              <w:top w:val="nil"/>
            </w:tcBorders>
            <w:textDirection w:val="tbRlV"/>
            <w:vAlign w:val="center"/>
          </w:tcPr>
          <w:p>
            <w:pPr>
              <w:jc w:val="center"/>
              <w:rPr>
                <w:rFonts w:ascii="Arial"/>
              </w:rPr>
            </w:pPr>
          </w:p>
        </w:tc>
        <w:tc>
          <w:tcPr>
            <w:tcW w:w="372" w:type="pct"/>
            <w:vAlign w:val="center"/>
          </w:tcPr>
          <w:p>
            <w:pPr>
              <w:pStyle w:val="243"/>
              <w:spacing w:before="59" w:line="219" w:lineRule="auto"/>
              <w:rPr>
                <w:lang w:eastAsia="zh-CN"/>
              </w:rPr>
            </w:pPr>
            <w:r>
              <w:rPr>
                <w:spacing w:val="-2"/>
                <w14:textOutline w14:w="3263" w14:cap="sq" w14:cmpd="sng" w14:algn="ctr">
                  <w14:solidFill>
                    <w14:srgbClr w14:val="000000"/>
                  </w14:solidFill>
                  <w14:prstDash w14:val="solid"/>
                  <w14:bevel/>
                </w14:textOutline>
              </w:rPr>
              <w:t>高位</w:t>
            </w:r>
            <w:r>
              <w:rPr>
                <w:rFonts w:hint="eastAsia"/>
                <w:spacing w:val="-2"/>
                <w:lang w:eastAsia="zh-CN"/>
                <w14:textOutline w14:w="3263" w14:cap="sq" w14:cmpd="sng" w14:algn="ctr">
                  <w14:solidFill>
                    <w14:srgbClr w14:val="000000"/>
                  </w14:solidFill>
                  <w14:prstDash w14:val="solid"/>
                  <w14:bevel/>
                </w14:textOutline>
              </w:rPr>
              <w:t>水池（箱）</w:t>
            </w:r>
          </w:p>
        </w:tc>
        <w:tc>
          <w:tcPr>
            <w:tcW w:w="153" w:type="pct"/>
            <w:vAlign w:val="center"/>
          </w:tcPr>
          <w:p>
            <w:pPr>
              <w:rPr>
                <w:rFonts w:ascii="Arial"/>
              </w:rPr>
            </w:pPr>
          </w:p>
        </w:tc>
        <w:tc>
          <w:tcPr>
            <w:tcW w:w="371" w:type="pct"/>
            <w:vAlign w:val="center"/>
          </w:tcPr>
          <w:p>
            <w:pPr>
              <w:pStyle w:val="243"/>
              <w:spacing w:before="59" w:line="219" w:lineRule="auto"/>
              <w:rPr>
                <w:rFonts w:ascii="Times New Roman" w:hAnsi="Times New Roman" w:eastAsia="Times New Roman" w:cs="Times New Roman"/>
              </w:rPr>
            </w:pPr>
            <w:r>
              <w:rPr>
                <w:spacing w:val="-4"/>
                <w14:textOutline w14:w="3263" w14:cap="sq" w14:cmpd="sng" w14:algn="ctr">
                  <w14:solidFill>
                    <w14:srgbClr w14:val="000000"/>
                  </w14:solidFill>
                  <w14:prstDash w14:val="solid"/>
                  <w14:bevel/>
                </w14:textOutline>
              </w:rPr>
              <w:t>进水</w:t>
            </w:r>
            <w:r>
              <w:rPr>
                <w:rFonts w:hint="eastAsia"/>
                <w:spacing w:val="-4"/>
                <w:lang w:eastAsia="zh-CN"/>
                <w14:textOutline w14:w="3263" w14:cap="sq" w14:cmpd="sng" w14:algn="ctr">
                  <w14:solidFill>
                    <w14:srgbClr w14:val="000000"/>
                  </w14:solidFill>
                  <w14:prstDash w14:val="solid"/>
                  <w14:bevel/>
                </w14:textOutline>
              </w:rPr>
              <w:t>：</w:t>
            </w:r>
            <w:r>
              <w:rPr>
                <w:spacing w:val="-29"/>
              </w:rPr>
              <w:t xml:space="preserve"> </w:t>
            </w:r>
            <w:r>
              <w:rPr>
                <w:rFonts w:ascii="Times New Roman" w:hAnsi="Times New Roman" w:eastAsia="Times New Roman" w:cs="Times New Roman"/>
                <w:b/>
                <w:bCs/>
                <w:spacing w:val="-1"/>
                <w:u w:val="single"/>
              </w:rPr>
              <w:t xml:space="preserve"> </w:t>
            </w:r>
            <w:r>
              <w:rPr>
                <w:rFonts w:hint="eastAsia" w:ascii="Times New Roman" w:hAnsi="Times New Roman" w:cs="Times New Roman"/>
                <w:b/>
                <w:bCs/>
                <w:spacing w:val="-1"/>
                <w:u w:val="single"/>
                <w:lang w:eastAsia="zh-CN"/>
              </w:rPr>
              <w:t xml:space="preserve"> </w:t>
            </w:r>
            <w:r>
              <w:rPr>
                <w:spacing w:val="-2"/>
                <w14:textOutline w14:w="3263" w14:cap="sq" w14:cmpd="sng" w14:algn="ctr">
                  <w14:solidFill>
                    <w14:srgbClr w14:val="000000"/>
                  </w14:solidFill>
                  <w14:prstDash w14:val="solid"/>
                  <w14:bevel/>
                </w14:textOutline>
              </w:rPr>
              <w:t>路</w:t>
            </w:r>
          </w:p>
        </w:tc>
        <w:tc>
          <w:tcPr>
            <w:tcW w:w="237" w:type="pct"/>
            <w:vAlign w:val="center"/>
          </w:tcPr>
          <w:p>
            <w:pPr>
              <w:pStyle w:val="243"/>
              <w:spacing w:before="58" w:line="220" w:lineRule="auto"/>
              <w:rPr>
                <w:lang w:eastAsia="zh-CN"/>
              </w:rPr>
            </w:pPr>
            <w:r>
              <w:rPr>
                <w:rFonts w:hint="eastAsia" w:ascii="Times New Roman" w:hAnsi="Times New Roman" w:cs="Times New Roman"/>
                <w:b/>
                <w:bCs/>
                <w:spacing w:val="-7"/>
                <w:lang w:eastAsia="zh-CN"/>
              </w:rPr>
              <w:t>□</w:t>
            </w:r>
            <w:r>
              <w:rPr>
                <w:spacing w:val="-7"/>
                <w:lang w:eastAsia="zh-CN"/>
                <w14:textOutline w14:w="3263" w14:cap="sq" w14:cmpd="sng" w14:algn="ctr">
                  <w14:solidFill>
                    <w14:srgbClr w14:val="000000"/>
                  </w14:solidFill>
                  <w14:prstDash w14:val="solid"/>
                  <w14:bevel/>
                </w14:textOutline>
              </w:rPr>
              <w:t>无</w:t>
            </w:r>
          </w:p>
          <w:p>
            <w:pPr>
              <w:pStyle w:val="243"/>
              <w:spacing w:before="253" w:line="436" w:lineRule="exact"/>
              <w:rPr>
                <w:lang w:eastAsia="zh-CN"/>
              </w:rPr>
            </w:pPr>
            <w:r>
              <w:rPr>
                <w:rFonts w:hint="eastAsia" w:ascii="Times New Roman" w:hAnsi="Times New Roman" w:cs="Times New Roman"/>
                <w:b/>
                <w:bCs/>
                <w:spacing w:val="-3"/>
                <w:position w:val="19"/>
                <w:lang w:eastAsia="zh-CN"/>
              </w:rPr>
              <w:t>□</w:t>
            </w:r>
            <w:r>
              <w:rPr>
                <w:spacing w:val="-3"/>
                <w:position w:val="19"/>
                <w:lang w:eastAsia="zh-CN"/>
                <w14:textOutline w14:w="3263" w14:cap="sq" w14:cmpd="sng" w14:algn="ctr">
                  <w14:solidFill>
                    <w14:srgbClr w14:val="000000"/>
                  </w14:solidFill>
                  <w14:prstDash w14:val="solid"/>
                  <w14:bevel/>
                </w14:textOutline>
              </w:rPr>
              <w:t>液压阀</w:t>
            </w:r>
          </w:p>
          <w:p>
            <w:pPr>
              <w:pStyle w:val="243"/>
              <w:spacing w:line="242" w:lineRule="exact"/>
              <w:rPr>
                <w:lang w:eastAsia="zh-CN"/>
              </w:rPr>
            </w:pPr>
            <w:r>
              <w:rPr>
                <w:rFonts w:hint="eastAsia" w:ascii="Times New Roman" w:hAnsi="Times New Roman" w:cs="Times New Roman"/>
                <w:b/>
                <w:bCs/>
                <w:spacing w:val="-2"/>
                <w:lang w:eastAsia="zh-CN"/>
              </w:rPr>
              <w:t>□</w:t>
            </w:r>
            <w:r>
              <w:rPr>
                <w:spacing w:val="-2"/>
                <w:lang w:eastAsia="zh-CN"/>
                <w14:textOutline w14:w="3263" w14:cap="sq" w14:cmpd="sng" w14:algn="ctr">
                  <w14:solidFill>
                    <w14:srgbClr w14:val="000000"/>
                  </w14:solidFill>
                  <w14:prstDash w14:val="solid"/>
                  <w14:bevel/>
                </w14:textOutline>
              </w:rPr>
              <w:t>浮球阀</w:t>
            </w:r>
          </w:p>
        </w:tc>
        <w:tc>
          <w:tcPr>
            <w:tcW w:w="418" w:type="pct"/>
            <w:gridSpan w:val="2"/>
            <w:vAlign w:val="center"/>
          </w:tcPr>
          <w:p>
            <w:pPr>
              <w:spacing w:before="51" w:line="188" w:lineRule="auto"/>
              <w:rPr>
                <w:rFonts w:ascii="Times New Roman" w:hAnsi="Times New Roman" w:eastAsia="Times New Roman"/>
                <w:sz w:val="18"/>
                <w:szCs w:val="18"/>
              </w:rPr>
            </w:pPr>
          </w:p>
        </w:tc>
        <w:tc>
          <w:tcPr>
            <w:tcW w:w="250" w:type="pct"/>
            <w:vAlign w:val="center"/>
          </w:tcPr>
          <w:p>
            <w:pPr>
              <w:rPr>
                <w:rFonts w:ascii="Arial"/>
              </w:rPr>
            </w:pPr>
          </w:p>
        </w:tc>
        <w:tc>
          <w:tcPr>
            <w:tcW w:w="845" w:type="pct"/>
            <w:vAlign w:val="center"/>
          </w:tcPr>
          <w:p>
            <w:pPr>
              <w:pStyle w:val="243"/>
              <w:spacing w:before="58" w:line="243" w:lineRule="exact"/>
              <w:rPr>
                <w:lang w:eastAsia="zh-CN"/>
              </w:rPr>
            </w:pP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瓷砖</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涂料</w:t>
            </w:r>
            <w:r>
              <w:rPr>
                <w:spacing w:val="-1"/>
                <w:lang w:eastAsia="zh-CN"/>
              </w:rPr>
              <w:t xml:space="preserve"> </w:t>
            </w:r>
            <w:r>
              <w:rPr>
                <w:rFonts w:hint="eastAsia" w:ascii="Times New Roman" w:hAnsi="Times New Roman" w:cs="Times New Roman"/>
                <w:b/>
                <w:bCs/>
                <w:spacing w:val="-1"/>
                <w:lang w:eastAsia="zh-CN"/>
              </w:rPr>
              <w:t>□</w:t>
            </w:r>
            <w:r>
              <w:rPr>
                <w:spacing w:val="-1"/>
                <w:lang w:eastAsia="zh-CN"/>
                <w14:textOutline w14:w="3263" w14:cap="sq" w14:cmpd="sng" w14:algn="ctr">
                  <w14:solidFill>
                    <w14:srgbClr w14:val="000000"/>
                  </w14:solidFill>
                  <w14:prstDash w14:val="solid"/>
                  <w14:bevel/>
                </w14:textOutline>
              </w:rPr>
              <w:t>不锈钢内衬</w:t>
            </w:r>
          </w:p>
          <w:p>
            <w:pPr>
              <w:pStyle w:val="243"/>
              <w:spacing w:before="261" w:line="219" w:lineRule="auto"/>
              <w:ind w:left="119"/>
            </w:pPr>
            <w:r>
              <w:rPr>
                <w:rFonts w:hint="eastAsia" w:ascii="Times New Roman" w:hAnsi="Times New Roman" w:cs="Times New Roman"/>
                <w:b/>
                <w:bCs/>
                <w:spacing w:val="-3"/>
                <w:lang w:eastAsia="zh-CN"/>
              </w:rPr>
              <w:t>□</w:t>
            </w:r>
            <w:r>
              <w:rPr>
                <w:spacing w:val="-3"/>
                <w14:textOutline w14:w="3263" w14:cap="sq" w14:cmpd="sng" w14:algn="ctr">
                  <w14:solidFill>
                    <w14:srgbClr w14:val="000000"/>
                  </w14:solidFill>
                  <w14:prstDash w14:val="solid"/>
                  <w14:bevel/>
                </w14:textOutline>
              </w:rPr>
              <w:t>水泥</w:t>
            </w:r>
            <w:r>
              <w:rPr>
                <w:spacing w:val="17"/>
              </w:rPr>
              <w:t xml:space="preserve"> </w:t>
            </w:r>
            <w:r>
              <w:rPr>
                <w:rFonts w:hint="eastAsia" w:ascii="Times New Roman" w:hAnsi="Times New Roman" w:cs="Times New Roman"/>
                <w:b/>
                <w:bCs/>
                <w:spacing w:val="-3"/>
                <w:lang w:eastAsia="zh-CN"/>
              </w:rPr>
              <w:t>□</w:t>
            </w:r>
            <w:r>
              <w:rPr>
                <w:spacing w:val="-3"/>
                <w14:textOutline w14:w="3263" w14:cap="sq" w14:cmpd="sng" w14:algn="ctr">
                  <w14:solidFill>
                    <w14:srgbClr w14:val="000000"/>
                  </w14:solidFill>
                  <w14:prstDash w14:val="solid"/>
                  <w14:bevel/>
                </w14:textOutline>
              </w:rPr>
              <w:t>不锈钢水箱</w:t>
            </w:r>
          </w:p>
        </w:tc>
        <w:tc>
          <w:tcPr>
            <w:tcW w:w="482" w:type="pct"/>
            <w:vAlign w:val="center"/>
          </w:tcPr>
          <w:p>
            <w:pPr>
              <w:pStyle w:val="243"/>
              <w:spacing w:before="58" w:line="220" w:lineRule="auto"/>
              <w:rPr>
                <w:lang w:eastAsia="zh-CN"/>
              </w:rPr>
            </w:pPr>
            <w:r>
              <w:rPr>
                <w:spacing w:val="-3"/>
                <w:lang w:eastAsia="zh-CN"/>
                <w14:textOutline w14:w="3263" w14:cap="sq" w14:cmpd="sng" w14:algn="ctr">
                  <w14:solidFill>
                    <w14:srgbClr w14:val="000000"/>
                  </w14:solidFill>
                  <w14:prstDash w14:val="solid"/>
                  <w14:bevel/>
                </w14:textOutline>
              </w:rPr>
              <w:t>透气孔：</w:t>
            </w:r>
            <w:r>
              <w:rPr>
                <w:rFonts w:hint="eastAsia" w:ascii="Times New Roman" w:hAnsi="Times New Roman" w:cs="Times New Roman"/>
                <w:spacing w:val="-3"/>
                <w:lang w:eastAsia="zh-CN"/>
              </w:rPr>
              <w:t>□</w:t>
            </w:r>
            <w:r>
              <w:rPr>
                <w:spacing w:val="-3"/>
                <w:lang w:eastAsia="zh-CN"/>
              </w:rPr>
              <w:t>无</w:t>
            </w:r>
            <w:r>
              <w:rPr>
                <w:spacing w:val="9"/>
                <w:lang w:eastAsia="zh-CN"/>
              </w:rPr>
              <w:t xml:space="preserve">  </w:t>
            </w:r>
            <w:r>
              <w:rPr>
                <w:rFonts w:hint="eastAsia" w:ascii="Times New Roman" w:hAnsi="Times New Roman" w:cs="Times New Roman"/>
                <w:spacing w:val="-3"/>
                <w:lang w:eastAsia="zh-CN"/>
              </w:rPr>
              <w:t>□</w:t>
            </w:r>
            <w:r>
              <w:rPr>
                <w:spacing w:val="-3"/>
                <w:lang w:eastAsia="zh-CN"/>
              </w:rPr>
              <w:t>有</w:t>
            </w:r>
          </w:p>
          <w:p>
            <w:pPr>
              <w:pStyle w:val="243"/>
              <w:spacing w:before="253" w:line="220" w:lineRule="auto"/>
              <w:rPr>
                <w:lang w:eastAsia="zh-CN"/>
              </w:rPr>
            </w:pPr>
            <w:r>
              <w:rPr>
                <w:spacing w:val="-3"/>
                <w:lang w:eastAsia="zh-CN"/>
                <w14:textOutline w14:w="3263" w14:cap="sq" w14:cmpd="sng" w14:algn="ctr">
                  <w14:solidFill>
                    <w14:srgbClr w14:val="000000"/>
                  </w14:solidFill>
                  <w14:prstDash w14:val="solid"/>
                  <w14:bevel/>
                </w14:textOutline>
              </w:rPr>
              <w:t>溢流孔：</w:t>
            </w:r>
            <w:r>
              <w:rPr>
                <w:rFonts w:hint="eastAsia" w:ascii="Times New Roman" w:hAnsi="Times New Roman" w:cs="Times New Roman"/>
                <w:spacing w:val="-3"/>
                <w:lang w:eastAsia="zh-CN"/>
              </w:rPr>
              <w:t>□</w:t>
            </w:r>
            <w:r>
              <w:rPr>
                <w:spacing w:val="-3"/>
                <w:lang w:eastAsia="zh-CN"/>
              </w:rPr>
              <w:t>无</w:t>
            </w:r>
            <w:r>
              <w:rPr>
                <w:spacing w:val="8"/>
                <w:lang w:eastAsia="zh-CN"/>
              </w:rPr>
              <w:t xml:space="preserve">  </w:t>
            </w:r>
            <w:r>
              <w:rPr>
                <w:rFonts w:hint="eastAsia" w:ascii="Times New Roman" w:hAnsi="Times New Roman" w:cs="Times New Roman"/>
                <w:spacing w:val="-3"/>
                <w:lang w:eastAsia="zh-CN"/>
              </w:rPr>
              <w:t>□</w:t>
            </w:r>
            <w:r>
              <w:rPr>
                <w:spacing w:val="-3"/>
                <w:lang w:eastAsia="zh-CN"/>
              </w:rPr>
              <w:t>有</w:t>
            </w:r>
          </w:p>
          <w:p>
            <w:pPr>
              <w:pStyle w:val="243"/>
              <w:spacing w:before="253" w:line="219" w:lineRule="auto"/>
            </w:pPr>
            <w:r>
              <w:rPr>
                <w:spacing w:val="-3"/>
                <w14:textOutline w14:w="3263" w14:cap="sq" w14:cmpd="sng" w14:algn="ctr">
                  <w14:solidFill>
                    <w14:srgbClr w14:val="000000"/>
                  </w14:solidFill>
                  <w14:prstDash w14:val="solid"/>
                  <w14:bevel/>
                </w14:textOutline>
              </w:rPr>
              <w:t>排水孔：</w:t>
            </w:r>
            <w:r>
              <w:rPr>
                <w:rFonts w:hint="eastAsia" w:ascii="Times New Roman" w:hAnsi="Times New Roman" w:cs="Times New Roman"/>
                <w:spacing w:val="-3"/>
                <w:lang w:eastAsia="zh-CN"/>
              </w:rPr>
              <w:t>□</w:t>
            </w:r>
            <w:r>
              <w:rPr>
                <w:spacing w:val="-3"/>
              </w:rPr>
              <w:t>无</w:t>
            </w:r>
            <w:r>
              <w:rPr>
                <w:spacing w:val="18"/>
              </w:rPr>
              <w:t xml:space="preserve"> </w:t>
            </w:r>
            <w:r>
              <w:rPr>
                <w:rFonts w:hint="eastAsia" w:ascii="Times New Roman" w:hAnsi="Times New Roman" w:cs="Times New Roman"/>
                <w:spacing w:val="-3"/>
                <w:lang w:eastAsia="zh-CN"/>
              </w:rPr>
              <w:t>□</w:t>
            </w:r>
            <w:r>
              <w:rPr>
                <w:spacing w:val="-3"/>
              </w:rPr>
              <w:t>有</w:t>
            </w:r>
          </w:p>
        </w:tc>
        <w:tc>
          <w:tcPr>
            <w:tcW w:w="672" w:type="pct"/>
            <w:gridSpan w:val="2"/>
            <w:vMerge w:val="continue"/>
            <w:tcBorders>
              <w:top w:val="nil"/>
            </w:tcBorders>
            <w:vAlign w:val="center"/>
          </w:tcPr>
          <w:p>
            <w:pPr>
              <w:rPr>
                <w:rFonts w:ascii="Arial"/>
              </w:rPr>
            </w:pPr>
          </w:p>
        </w:tc>
        <w:tc>
          <w:tcPr>
            <w:tcW w:w="313" w:type="pct"/>
            <w:vAlign w:val="center"/>
          </w:tcPr>
          <w:p>
            <w:pPr>
              <w:rPr>
                <w:rFonts w:ascii="Arial"/>
              </w:rPr>
            </w:pPr>
          </w:p>
        </w:tc>
        <w:tc>
          <w:tcPr>
            <w:tcW w:w="152" w:type="pct"/>
            <w:vAlign w:val="center"/>
          </w:tcPr>
          <w:p>
            <w:pPr>
              <w:spacing w:before="52" w:line="206" w:lineRule="auto"/>
              <w:rPr>
                <w:rFonts w:ascii="Times New Roman" w:hAnsi="Times New Roman" w:eastAsia="Times New Roman"/>
                <w:sz w:val="11"/>
                <w:szCs w:val="11"/>
              </w:rPr>
            </w:pPr>
            <w:r>
              <w:rPr>
                <w:rFonts w:ascii="Times New Roman" w:hAnsi="Times New Roman" w:eastAsia="Times New Roman"/>
                <w:b/>
                <w:bCs/>
                <w:spacing w:val="-2"/>
                <w:position w:val="-2"/>
                <w:sz w:val="18"/>
                <w:szCs w:val="18"/>
              </w:rPr>
              <w:t>m</w:t>
            </w:r>
            <w:r>
              <w:rPr>
                <w:rFonts w:ascii="Times New Roman" w:hAnsi="Times New Roman" w:eastAsia="Times New Roman"/>
                <w:b/>
                <w:bCs/>
                <w:spacing w:val="-2"/>
                <w:position w:val="3"/>
                <w:sz w:val="11"/>
                <w:szCs w:val="11"/>
              </w:rPr>
              <w:t>2</w:t>
            </w:r>
          </w:p>
        </w:tc>
        <w:tc>
          <w:tcPr>
            <w:tcW w:w="322" w:type="pct"/>
            <w:vAlign w:val="center"/>
          </w:tcPr>
          <w:p>
            <w:pPr>
              <w:pStyle w:val="243"/>
              <w:spacing w:before="146" w:line="221" w:lineRule="auto"/>
              <w:rPr>
                <w:rFonts w:ascii="Times New Roman" w:hAnsi="Times New Roman" w:eastAsia="Times New Roman" w:cs="Times New Roman"/>
                <w:lang w:eastAsia="zh-CN"/>
              </w:rPr>
            </w:pPr>
            <w:r>
              <w:rPr>
                <w:spacing w:val="-2"/>
                <w:lang w:eastAsia="zh-CN"/>
                <w14:textOutline w14:w="3263" w14:cap="sq" w14:cmpd="sng" w14:algn="ctr">
                  <w14:solidFill>
                    <w14:srgbClr w14:val="000000"/>
                  </w14:solidFill>
                  <w14:prstDash w14:val="solid"/>
                  <w14:bevel/>
                </w14:textOutline>
              </w:rPr>
              <w:t>地面</w:t>
            </w:r>
            <w:r>
              <w:rPr>
                <w:rFonts w:ascii="Times New Roman" w:hAnsi="Times New Roman" w:eastAsia="Times New Roman" w:cs="Times New Roman"/>
                <w:b/>
                <w:bCs/>
                <w:spacing w:val="-2"/>
                <w:lang w:eastAsia="zh-CN"/>
              </w:rPr>
              <w:t>:</w:t>
            </w:r>
          </w:p>
          <w:p>
            <w:pPr>
              <w:pStyle w:val="243"/>
              <w:spacing w:before="253" w:line="221" w:lineRule="auto"/>
              <w:rPr>
                <w:lang w:eastAsia="zh-CN"/>
              </w:rPr>
            </w:pPr>
            <w:r>
              <w:rPr>
                <w:rFonts w:hint="eastAsia" w:ascii="Times New Roman" w:hAnsi="Times New Roman" w:cs="Times New Roman"/>
                <w:b/>
                <w:bCs/>
                <w:spacing w:val="-5"/>
                <w:lang w:eastAsia="zh-CN"/>
              </w:rPr>
              <w:t>□</w:t>
            </w:r>
            <w:r>
              <w:rPr>
                <w:spacing w:val="-5"/>
                <w:lang w:eastAsia="zh-CN"/>
                <w14:textOutline w14:w="3263" w14:cap="sq" w14:cmpd="sng" w14:algn="ctr">
                  <w14:solidFill>
                    <w14:srgbClr w14:val="000000"/>
                  </w14:solidFill>
                  <w14:prstDash w14:val="solid"/>
                  <w14:bevel/>
                </w14:textOutline>
              </w:rPr>
              <w:t>磁砖</w:t>
            </w:r>
          </w:p>
          <w:p>
            <w:pPr>
              <w:pStyle w:val="243"/>
              <w:spacing w:before="252" w:line="219" w:lineRule="auto"/>
              <w:rPr>
                <w:lang w:eastAsia="zh-CN"/>
              </w:rPr>
            </w:pPr>
            <w:r>
              <w:rPr>
                <w:rFonts w:hint="eastAsia" w:ascii="Times New Roman" w:hAnsi="Times New Roman" w:cs="Times New Roman"/>
                <w:spacing w:val="-5"/>
                <w:lang w:eastAsia="zh-CN"/>
              </w:rPr>
              <w:t>□</w:t>
            </w:r>
            <w:r>
              <w:rPr>
                <w:spacing w:val="-5"/>
                <w:lang w:eastAsia="zh-CN"/>
                <w14:textOutline w14:w="3263" w14:cap="sq" w14:cmpd="sng" w14:algn="ctr">
                  <w14:solidFill>
                    <w14:srgbClr w14:val="000000"/>
                  </w14:solidFill>
                  <w14:prstDash w14:val="solid"/>
                  <w14:bevel/>
                </w14:textOutline>
              </w:rPr>
              <w:t>水泥</w:t>
            </w:r>
          </w:p>
          <w:p>
            <w:pPr>
              <w:pStyle w:val="243"/>
              <w:spacing w:before="254" w:line="219" w:lineRule="auto"/>
              <w:rPr>
                <w:lang w:eastAsia="zh-CN"/>
              </w:rPr>
            </w:pPr>
            <w:r>
              <w:rPr>
                <w:rFonts w:hint="eastAsia" w:ascii="Times New Roman" w:hAnsi="Times New Roman" w:cs="Times New Roman"/>
                <w:spacing w:val="-3"/>
                <w:lang w:eastAsia="zh-CN"/>
              </w:rPr>
              <w:t>□</w:t>
            </w:r>
            <w:r>
              <w:rPr>
                <w:spacing w:val="-3"/>
                <w:lang w:eastAsia="zh-CN"/>
                <w14:textOutline w14:w="3263" w14:cap="sq" w14:cmpd="sng" w14:algn="ctr">
                  <w14:solidFill>
                    <w14:srgbClr w14:val="000000"/>
                  </w14:solidFill>
                  <w14:prstDash w14:val="solid"/>
                  <w14:bevel/>
                </w14:textOutline>
              </w:rPr>
              <w:t>有积水</w:t>
            </w:r>
          </w:p>
        </w:tc>
        <w:tc>
          <w:tcPr>
            <w:tcW w:w="278" w:type="pct"/>
            <w:vAlign w:val="center"/>
          </w:tcPr>
          <w:p>
            <w:pPr>
              <w:pStyle w:val="243"/>
              <w:spacing w:before="58" w:line="468" w:lineRule="exact"/>
            </w:pPr>
            <w:r>
              <w:rPr>
                <w:spacing w:val="-3"/>
                <w:position w:val="22"/>
                <w14:textOutline w14:w="3263" w14:cap="sq" w14:cmpd="sng" w14:algn="ctr">
                  <w14:solidFill>
                    <w14:srgbClr w14:val="000000"/>
                  </w14:solidFill>
                  <w14:prstDash w14:val="solid"/>
                  <w14:bevel/>
                </w14:textOutline>
              </w:rPr>
              <w:t>通风：</w:t>
            </w:r>
          </w:p>
          <w:p>
            <w:pPr>
              <w:pStyle w:val="243"/>
              <w:spacing w:line="220" w:lineRule="auto"/>
            </w:pPr>
            <w:r>
              <w:rPr>
                <w:rFonts w:hint="eastAsia" w:ascii="Times New Roman" w:hAnsi="Times New Roman" w:cs="Times New Roman"/>
                <w:b/>
                <w:bCs/>
                <w:spacing w:val="-7"/>
                <w:lang w:eastAsia="zh-CN"/>
              </w:rPr>
              <w:t>□</w:t>
            </w:r>
            <w:r>
              <w:rPr>
                <w:spacing w:val="-7"/>
                <w14:textOutline w14:w="3263" w14:cap="sq" w14:cmpd="sng" w14:algn="ctr">
                  <w14:solidFill>
                    <w14:srgbClr w14:val="000000"/>
                  </w14:solidFill>
                  <w14:prstDash w14:val="solid"/>
                  <w14:bevel/>
                </w14:textOutline>
              </w:rPr>
              <w:t>无</w:t>
            </w:r>
          </w:p>
          <w:p>
            <w:pPr>
              <w:pStyle w:val="243"/>
              <w:spacing w:before="253" w:line="220" w:lineRule="auto"/>
            </w:pPr>
            <w:r>
              <w:rPr>
                <w:rFonts w:hint="eastAsia" w:ascii="Times New Roman" w:hAnsi="Times New Roman" w:cs="Times New Roman"/>
                <w:spacing w:val="-7"/>
                <w:lang w:eastAsia="zh-CN"/>
              </w:rPr>
              <w:t>□</w:t>
            </w:r>
            <w:r>
              <w:rPr>
                <w:spacing w:val="-7"/>
                <w14:textOutline w14:w="3263" w14:cap="sq" w14:cmpd="sng" w14:algn="ctr">
                  <w14:solidFill>
                    <w14:srgbClr w14:val="000000"/>
                  </w14:solidFill>
                  <w14:prstDash w14:val="solid"/>
                  <w14:bevel/>
                </w14:textOutline>
              </w:rPr>
              <w:t>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00" w:type="pct"/>
            <w:gridSpan w:val="2"/>
            <w:vMerge w:val="restart"/>
            <w:tcBorders>
              <w:bottom w:val="nil"/>
            </w:tcBorders>
            <w:vAlign w:val="center"/>
          </w:tcPr>
          <w:p>
            <w:pPr>
              <w:pStyle w:val="243"/>
              <w:spacing w:before="59" w:line="468" w:lineRule="exact"/>
              <w:jc w:val="center"/>
              <w:rPr>
                <w:lang w:eastAsia="zh-CN"/>
              </w:rPr>
            </w:pPr>
            <w:r>
              <w:rPr>
                <w:rFonts w:hint="eastAsia"/>
                <w:spacing w:val="-1"/>
                <w:position w:val="22"/>
                <w:lang w:eastAsia="zh-CN"/>
                <w14:textOutline w14:w="3263" w14:cap="sq" w14:cmpd="sng" w14:algn="ctr">
                  <w14:solidFill>
                    <w14:srgbClr w14:val="000000"/>
                  </w14:solidFill>
                  <w14:prstDash w14:val="solid"/>
                  <w14:bevel/>
                </w14:textOutline>
              </w:rPr>
              <w:t>水池（箱）</w:t>
            </w:r>
            <w:r>
              <w:rPr>
                <w:spacing w:val="-1"/>
                <w:position w:val="22"/>
                <w:lang w:eastAsia="zh-CN"/>
                <w14:textOutline w14:w="3263" w14:cap="sq" w14:cmpd="sng" w14:algn="ctr">
                  <w14:solidFill>
                    <w14:srgbClr w14:val="000000"/>
                  </w14:solidFill>
                  <w14:prstDash w14:val="solid"/>
                  <w14:bevel/>
                </w14:textOutline>
              </w:rPr>
              <w:t>及附属设施现</w:t>
            </w:r>
            <w:r>
              <w:rPr>
                <w:rFonts w:hint="eastAsia"/>
                <w:spacing w:val="-1"/>
                <w:position w:val="22"/>
                <w:lang w:eastAsia="zh-CN"/>
                <w14:textOutline w14:w="3263" w14:cap="sq" w14:cmpd="sng" w14:algn="ctr">
                  <w14:solidFill>
                    <w14:srgbClr w14:val="000000"/>
                  </w14:solidFill>
                  <w14:prstDash w14:val="solid"/>
                  <w14:bevel/>
                </w14:textOutline>
              </w:rPr>
              <w:t>状</w:t>
            </w:r>
          </w:p>
        </w:tc>
        <w:tc>
          <w:tcPr>
            <w:tcW w:w="525" w:type="pct"/>
            <w:gridSpan w:val="2"/>
            <w:vAlign w:val="center"/>
          </w:tcPr>
          <w:p>
            <w:pPr>
              <w:pStyle w:val="243"/>
              <w:spacing w:before="59" w:line="468" w:lineRule="exact"/>
              <w:jc w:val="center"/>
              <w:rPr>
                <w:lang w:eastAsia="zh-CN"/>
              </w:rPr>
            </w:pPr>
            <w:r>
              <w:rPr>
                <w:spacing w:val="-1"/>
                <w:position w:val="22"/>
                <w:lang w:eastAsia="zh-CN"/>
                <w14:textOutline w14:w="3263" w14:cap="sq" w14:cmpd="sng" w14:algn="ctr">
                  <w14:solidFill>
                    <w14:srgbClr w14:val="000000"/>
                  </w14:solidFill>
                  <w14:prstDash w14:val="solid"/>
                  <w14:bevel/>
                </w14:textOutline>
              </w:rPr>
              <w:t>池</w:t>
            </w:r>
            <w:r>
              <w:rPr>
                <w:rFonts w:ascii="Times New Roman" w:hAnsi="Times New Roman" w:eastAsia="Times New Roman" w:cs="Times New Roman"/>
                <w:b/>
                <w:bCs/>
                <w:spacing w:val="-1"/>
                <w:position w:val="22"/>
                <w:lang w:eastAsia="zh-CN"/>
              </w:rPr>
              <w:t>(</w:t>
            </w:r>
            <w:r>
              <w:rPr>
                <w:spacing w:val="-1"/>
                <w:position w:val="22"/>
                <w:lang w:eastAsia="zh-CN"/>
                <w14:textOutline w14:w="3263" w14:cap="sq" w14:cmpd="sng" w14:algn="ctr">
                  <w14:solidFill>
                    <w14:srgbClr w14:val="000000"/>
                  </w14:solidFill>
                  <w14:prstDash w14:val="solid"/>
                  <w14:bevel/>
                </w14:textOutline>
              </w:rPr>
              <w:t>箱</w:t>
            </w:r>
            <w:r>
              <w:rPr>
                <w:rFonts w:ascii="Times New Roman" w:hAnsi="Times New Roman" w:eastAsia="Times New Roman" w:cs="Times New Roman"/>
                <w:b/>
                <w:bCs/>
                <w:spacing w:val="-1"/>
                <w:position w:val="22"/>
                <w:lang w:eastAsia="zh-CN"/>
              </w:rPr>
              <w:t>)</w:t>
            </w:r>
            <w:r>
              <w:rPr>
                <w:spacing w:val="-1"/>
                <w:position w:val="22"/>
                <w:lang w:eastAsia="zh-CN"/>
                <w14:textOutline w14:w="3263" w14:cap="sq" w14:cmpd="sng" w14:algn="ctr">
                  <w14:solidFill>
                    <w14:srgbClr w14:val="000000"/>
                  </w14:solidFill>
                  <w14:prstDash w14:val="solid"/>
                  <w14:bevel/>
                </w14:textOutline>
              </w:rPr>
              <w:t>容积及管道口径是否</w:t>
            </w:r>
            <w:r>
              <w:rPr>
                <w:spacing w:val="-1"/>
                <w:lang w:eastAsia="zh-CN"/>
                <w14:textOutline w14:w="3263" w14:cap="sq" w14:cmpd="sng" w14:algn="ctr">
                  <w14:solidFill>
                    <w14:srgbClr w14:val="000000"/>
                  </w14:solidFill>
                  <w14:prstDash w14:val="solid"/>
                  <w14:bevel/>
                </w14:textOutline>
              </w:rPr>
              <w:t>满足用水要求</w:t>
            </w:r>
          </w:p>
        </w:tc>
        <w:tc>
          <w:tcPr>
            <w:tcW w:w="476" w:type="pct"/>
            <w:gridSpan w:val="2"/>
            <w:vAlign w:val="center"/>
          </w:tcPr>
          <w:p>
            <w:pPr>
              <w:pStyle w:val="243"/>
              <w:spacing w:before="59" w:line="468" w:lineRule="exact"/>
              <w:jc w:val="center"/>
              <w:rPr>
                <w:lang w:eastAsia="zh-CN"/>
              </w:rPr>
            </w:pPr>
            <w:r>
              <w:rPr>
                <w:spacing w:val="-1"/>
                <w:position w:val="22"/>
                <w:lang w:eastAsia="zh-CN"/>
                <w14:textOutline w14:w="3263" w14:cap="sq" w14:cmpd="sng" w14:algn="ctr">
                  <w14:solidFill>
                    <w14:srgbClr w14:val="000000"/>
                  </w14:solidFill>
                  <w14:prstDash w14:val="solid"/>
                  <w14:bevel/>
                </w14:textOutline>
              </w:rPr>
              <w:t>高位水箱是否设置专用</w:t>
            </w:r>
          </w:p>
          <w:p>
            <w:pPr>
              <w:pStyle w:val="243"/>
              <w:spacing w:line="218" w:lineRule="auto"/>
              <w:jc w:val="center"/>
              <w:rPr>
                <w:lang w:eastAsia="zh-CN"/>
              </w:rPr>
            </w:pPr>
            <w:r>
              <w:rPr>
                <w:spacing w:val="-1"/>
                <w:lang w:eastAsia="zh-CN"/>
                <w14:textOutline w14:w="3263" w14:cap="sq" w14:cmpd="sng" w14:algn="ctr">
                  <w14:solidFill>
                    <w14:srgbClr w14:val="000000"/>
                  </w14:solidFill>
                  <w14:prstDash w14:val="solid"/>
                  <w14:bevel/>
                </w14:textOutline>
              </w:rPr>
              <w:t>房间或与电梯机房共用</w:t>
            </w:r>
          </w:p>
        </w:tc>
        <w:tc>
          <w:tcPr>
            <w:tcW w:w="429" w:type="pct"/>
            <w:gridSpan w:val="2"/>
            <w:vAlign w:val="center"/>
          </w:tcPr>
          <w:p>
            <w:pPr>
              <w:pStyle w:val="243"/>
              <w:spacing w:before="147" w:line="219" w:lineRule="auto"/>
              <w:ind w:left="126"/>
              <w:jc w:val="center"/>
              <w:rPr>
                <w:lang w:eastAsia="zh-CN"/>
              </w:rPr>
            </w:pPr>
            <w:r>
              <w:rPr>
                <w:lang w:eastAsia="zh-CN"/>
                <w14:textOutline w14:w="3263" w14:cap="sq" w14:cmpd="sng" w14:algn="ctr">
                  <w14:solidFill>
                    <w14:srgbClr w14:val="000000"/>
                  </w14:solidFill>
                  <w14:prstDash w14:val="solid"/>
                  <w14:bevel/>
                </w14:textOutline>
              </w:rPr>
              <w:t>设施周围</w:t>
            </w:r>
            <w:r>
              <w:rPr>
                <w:spacing w:val="-43"/>
                <w:lang w:eastAsia="zh-CN"/>
              </w:rPr>
              <w:t xml:space="preserve"> </w:t>
            </w:r>
            <w:r>
              <w:rPr>
                <w:rFonts w:ascii="Times New Roman" w:hAnsi="Times New Roman" w:eastAsia="Times New Roman" w:cs="Times New Roman"/>
                <w:b/>
                <w:bCs/>
                <w:lang w:eastAsia="zh-CN"/>
              </w:rPr>
              <w:t xml:space="preserve">30 </w:t>
            </w:r>
            <w:r>
              <w:rPr>
                <w:lang w:eastAsia="zh-CN"/>
                <w14:textOutline w14:w="3263" w14:cap="sq" w14:cmpd="sng" w14:algn="ctr">
                  <w14:solidFill>
                    <w14:srgbClr w14:val="000000"/>
                  </w14:solidFill>
                  <w14:prstDash w14:val="solid"/>
                  <w14:bevel/>
                </w14:textOutline>
              </w:rPr>
              <w:t>米内，是</w:t>
            </w:r>
          </w:p>
          <w:p>
            <w:pPr>
              <w:pStyle w:val="243"/>
              <w:spacing w:before="254" w:line="220" w:lineRule="auto"/>
              <w:ind w:left="172"/>
              <w:jc w:val="center"/>
              <w:rPr>
                <w:lang w:eastAsia="zh-CN"/>
              </w:rPr>
            </w:pPr>
            <w:r>
              <w:rPr>
                <w:spacing w:val="-1"/>
                <w:lang w:eastAsia="zh-CN"/>
                <w14:textOutline w14:w="3263" w14:cap="sq" w14:cmpd="sng" w14:algn="ctr">
                  <w14:solidFill>
                    <w14:srgbClr w14:val="000000"/>
                  </w14:solidFill>
                  <w14:prstDash w14:val="solid"/>
                  <w14:bevel/>
                </w14:textOutline>
              </w:rPr>
              <w:t>否设置旱厕和开放性</w:t>
            </w:r>
          </w:p>
          <w:p>
            <w:pPr>
              <w:pStyle w:val="243"/>
              <w:spacing w:before="253" w:line="220" w:lineRule="auto"/>
              <w:ind w:left="708"/>
              <w:jc w:val="center"/>
            </w:pPr>
            <w:r>
              <w:rPr>
                <w:spacing w:val="-3"/>
                <w14:textOutline w14:w="3263" w14:cap="sq" w14:cmpd="sng" w14:algn="ctr">
                  <w14:solidFill>
                    <w14:srgbClr w14:val="000000"/>
                  </w14:solidFill>
                  <w14:prstDash w14:val="solid"/>
                  <w14:bevel/>
                </w14:textOutline>
              </w:rPr>
              <w:t>垃圾堆</w:t>
            </w:r>
          </w:p>
        </w:tc>
        <w:tc>
          <w:tcPr>
            <w:tcW w:w="845" w:type="pct"/>
            <w:vAlign w:val="center"/>
          </w:tcPr>
          <w:p>
            <w:pPr>
              <w:widowControl/>
              <w:jc w:val="center"/>
            </w:pPr>
            <w:r>
              <w:rPr>
                <w:rFonts w:hint="eastAsia" w:ascii="宋体" w:hAnsi="宋体" w:cs="宋体"/>
                <w:b/>
                <w:bCs/>
                <w:color w:val="000000"/>
                <w:kern w:val="0"/>
                <w:sz w:val="18"/>
                <w:szCs w:val="18"/>
                <w:lang w:bidi="ar"/>
              </w:rPr>
              <w:t>有无建立二次供水的运行、清洗、消毒和安全保障制度</w:t>
            </w:r>
          </w:p>
          <w:p>
            <w:pPr>
              <w:pStyle w:val="243"/>
              <w:spacing w:before="59" w:line="468" w:lineRule="exact"/>
              <w:ind w:left="124"/>
              <w:jc w:val="center"/>
              <w:rPr>
                <w:lang w:eastAsia="zh-CN"/>
              </w:rPr>
            </w:pPr>
          </w:p>
        </w:tc>
        <w:tc>
          <w:tcPr>
            <w:tcW w:w="482" w:type="pct"/>
            <w:vAlign w:val="center"/>
          </w:tcPr>
          <w:p>
            <w:pPr>
              <w:jc w:val="center"/>
              <w:rPr>
                <w:rFonts w:ascii="Arial"/>
              </w:rPr>
            </w:pPr>
          </w:p>
        </w:tc>
        <w:tc>
          <w:tcPr>
            <w:tcW w:w="358" w:type="pct"/>
            <w:vAlign w:val="center"/>
          </w:tcPr>
          <w:p>
            <w:pPr>
              <w:pStyle w:val="243"/>
              <w:spacing w:before="147" w:line="219" w:lineRule="auto"/>
              <w:ind w:left="202"/>
              <w:jc w:val="center"/>
            </w:pPr>
            <w:r>
              <w:rPr>
                <w:spacing w:val="-2"/>
                <w14:textOutline w14:w="3263" w14:cap="sq" w14:cmpd="sng" w14:algn="ctr">
                  <w14:solidFill>
                    <w14:srgbClr w14:val="000000"/>
                  </w14:solidFill>
                  <w14:prstDash w14:val="solid"/>
                  <w14:bevel/>
                </w14:textOutline>
              </w:rPr>
              <w:t>是否有水质检验报</w:t>
            </w:r>
            <w:r>
              <w:rPr>
                <w14:textOutline w14:w="3263" w14:cap="sq" w14:cmpd="sng" w14:algn="ctr">
                  <w14:solidFill>
                    <w14:srgbClr w14:val="000000"/>
                  </w14:solidFill>
                  <w14:prstDash w14:val="solid"/>
                  <w14:bevel/>
                </w14:textOutline>
              </w:rPr>
              <w:t>告</w:t>
            </w:r>
          </w:p>
        </w:tc>
        <w:tc>
          <w:tcPr>
            <w:tcW w:w="313" w:type="pct"/>
            <w:vAlign w:val="center"/>
          </w:tcPr>
          <w:p>
            <w:pPr>
              <w:widowControl/>
              <w:jc w:val="center"/>
            </w:pPr>
            <w:r>
              <w:rPr>
                <w:rFonts w:hint="eastAsia" w:ascii="宋体" w:hAnsi="宋体" w:cs="宋体"/>
                <w:b/>
                <w:bCs/>
                <w:color w:val="000000"/>
                <w:kern w:val="0"/>
                <w:sz w:val="18"/>
                <w:szCs w:val="18"/>
                <w:lang w:bidi="ar"/>
              </w:rPr>
              <w:t>泵站内积水坑</w:t>
            </w:r>
          </w:p>
          <w:p>
            <w:pPr>
              <w:widowControl/>
              <w:jc w:val="center"/>
            </w:pPr>
            <w:r>
              <w:rPr>
                <w:rFonts w:hint="eastAsia" w:ascii="宋体" w:hAnsi="宋体" w:cs="宋体"/>
                <w:b/>
                <w:bCs/>
                <w:color w:val="000000"/>
                <w:kern w:val="0"/>
                <w:sz w:val="18"/>
                <w:szCs w:val="18"/>
                <w:lang w:bidi="ar"/>
              </w:rPr>
              <w:t>有无防护措施</w:t>
            </w:r>
          </w:p>
        </w:tc>
        <w:tc>
          <w:tcPr>
            <w:tcW w:w="466" w:type="pct"/>
            <w:gridSpan w:val="2"/>
            <w:vAlign w:val="center"/>
          </w:tcPr>
          <w:p>
            <w:pPr>
              <w:widowControl/>
              <w:jc w:val="center"/>
            </w:pPr>
            <w:r>
              <w:rPr>
                <w:rFonts w:hint="eastAsia" w:ascii="宋体" w:hAnsi="宋体" w:cs="宋体"/>
                <w:b/>
                <w:bCs/>
                <w:color w:val="000000"/>
                <w:kern w:val="0"/>
                <w:sz w:val="18"/>
                <w:szCs w:val="18"/>
                <w:lang w:bidi="ar"/>
              </w:rPr>
              <w:t>溢流管、排水</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污</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管是否</w:t>
            </w:r>
          </w:p>
          <w:p>
            <w:pPr>
              <w:widowControl/>
              <w:jc w:val="center"/>
            </w:pPr>
            <w:r>
              <w:rPr>
                <w:rFonts w:hint="eastAsia" w:ascii="宋体" w:hAnsi="宋体" w:cs="宋体"/>
                <w:b/>
                <w:bCs/>
                <w:color w:val="000000"/>
                <w:kern w:val="0"/>
                <w:sz w:val="18"/>
                <w:szCs w:val="18"/>
                <w:lang w:bidi="ar"/>
              </w:rPr>
              <w:t>与下水道直接相连</w:t>
            </w:r>
          </w:p>
        </w:tc>
        <w:tc>
          <w:tcPr>
            <w:tcW w:w="601" w:type="pct"/>
            <w:gridSpan w:val="2"/>
            <w:vAlign w:val="center"/>
          </w:tcPr>
          <w:p>
            <w:pPr>
              <w:widowControl/>
              <w:jc w:val="center"/>
            </w:pPr>
            <w:r>
              <w:rPr>
                <w:rFonts w:hint="eastAsia" w:ascii="宋体" w:hAnsi="宋体" w:cs="宋体"/>
                <w:b/>
                <w:bCs/>
                <w:color w:val="000000"/>
                <w:kern w:val="0"/>
                <w:sz w:val="18"/>
                <w:szCs w:val="18"/>
                <w:lang w:bidi="ar"/>
              </w:rPr>
              <w:t>通气孔是否有防蚊虫、异物进入</w:t>
            </w:r>
          </w:p>
          <w:p>
            <w:pPr>
              <w:widowControl/>
              <w:jc w:val="center"/>
            </w:pPr>
            <w:r>
              <w:rPr>
                <w:rFonts w:hint="eastAsia" w:ascii="宋体" w:hAnsi="宋体" w:cs="宋体"/>
                <w:b/>
                <w:bCs/>
                <w:color w:val="000000"/>
                <w:kern w:val="0"/>
                <w:sz w:val="18"/>
                <w:szCs w:val="18"/>
                <w:lang w:bidi="ar"/>
              </w:rPr>
              <w:t>池</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箱</w:t>
            </w:r>
            <w:r>
              <w:rPr>
                <w:rFonts w:ascii="Times New Roman" w:hAnsi="Times New Roman"/>
                <w:b/>
                <w:bCs/>
                <w:color w:val="000000"/>
                <w:kern w:val="0"/>
                <w:sz w:val="18"/>
                <w:szCs w:val="18"/>
                <w:lang w:bidi="ar"/>
              </w:rPr>
              <w:t>)</w:t>
            </w:r>
            <w:r>
              <w:rPr>
                <w:rFonts w:hint="eastAsia" w:ascii="宋体" w:hAnsi="宋体" w:cs="宋体"/>
                <w:b/>
                <w:bCs/>
                <w:color w:val="000000"/>
                <w:kern w:val="0"/>
                <w:sz w:val="18"/>
                <w:szCs w:val="18"/>
                <w:lang w:bidi="ar"/>
              </w:rPr>
              <w:t>的装置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00" w:type="pct"/>
            <w:gridSpan w:val="2"/>
            <w:vMerge w:val="continue"/>
            <w:tcBorders>
              <w:top w:val="nil"/>
            </w:tcBorders>
            <w:vAlign w:val="center"/>
          </w:tcPr>
          <w:p>
            <w:pPr>
              <w:jc w:val="center"/>
              <w:rPr>
                <w:rFonts w:ascii="Arial"/>
              </w:rPr>
            </w:pPr>
          </w:p>
        </w:tc>
        <w:tc>
          <w:tcPr>
            <w:tcW w:w="525" w:type="pct"/>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476" w:type="pct"/>
            <w:gridSpan w:val="2"/>
            <w:vAlign w:val="center"/>
          </w:tcPr>
          <w:p>
            <w:pPr>
              <w:pStyle w:val="243"/>
              <w:spacing w:before="148" w:line="468" w:lineRule="exact"/>
              <w:ind w:left="114"/>
              <w:jc w:val="center"/>
              <w:rPr>
                <w:lang w:eastAsia="zh-CN"/>
              </w:rPr>
            </w:pPr>
            <w:r>
              <w:rPr>
                <w:rFonts w:hint="eastAsia"/>
                <w:lang w:eastAsia="zh-CN"/>
              </w:rPr>
              <w:t>□专用 □与电梯房共用 □ 被占用作宿舍</w:t>
            </w:r>
          </w:p>
        </w:tc>
        <w:tc>
          <w:tcPr>
            <w:tcW w:w="429" w:type="pct"/>
            <w:gridSpan w:val="2"/>
            <w:vAlign w:val="center"/>
          </w:tcPr>
          <w:p>
            <w:pPr>
              <w:pStyle w:val="243"/>
              <w:spacing w:before="59" w:line="223" w:lineRule="auto"/>
              <w:jc w:val="center"/>
            </w:pPr>
            <w:r>
              <w:rPr>
                <w:rFonts w:hint="eastAsia" w:ascii="Times New Roman" w:hAnsi="Times New Roman" w:cs="Times New Roman"/>
                <w:spacing w:val="-7"/>
                <w:lang w:eastAsia="zh-CN"/>
              </w:rPr>
              <w:t>□</w:t>
            </w:r>
            <w:r>
              <w:rPr>
                <w:spacing w:val="-7"/>
              </w:rPr>
              <w:t>是</w:t>
            </w:r>
          </w:p>
        </w:tc>
        <w:tc>
          <w:tcPr>
            <w:tcW w:w="845" w:type="pct"/>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482" w:type="pct"/>
            <w:vAlign w:val="center"/>
          </w:tcPr>
          <w:p>
            <w:pPr>
              <w:jc w:val="center"/>
              <w:rPr>
                <w:rFonts w:ascii="Arial"/>
              </w:rPr>
            </w:pPr>
          </w:p>
        </w:tc>
        <w:tc>
          <w:tcPr>
            <w:tcW w:w="358" w:type="pct"/>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313" w:type="pct"/>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466" w:type="pct"/>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c>
          <w:tcPr>
            <w:tcW w:w="601" w:type="pct"/>
            <w:gridSpan w:val="2"/>
            <w:vAlign w:val="center"/>
          </w:tcPr>
          <w:p>
            <w:pPr>
              <w:pStyle w:val="243"/>
              <w:spacing w:before="59" w:line="220" w:lineRule="auto"/>
              <w:jc w:val="center"/>
            </w:pPr>
            <w:r>
              <w:rPr>
                <w:rFonts w:hint="eastAsia" w:ascii="Times New Roman" w:hAnsi="Times New Roman" w:cs="Times New Roman"/>
                <w:spacing w:val="-7"/>
                <w:lang w:eastAsia="zh-CN"/>
              </w:rPr>
              <w:t>□</w:t>
            </w:r>
            <w:r>
              <w:rPr>
                <w:spacing w:val="-7"/>
              </w:rPr>
              <w:t>是</w:t>
            </w:r>
            <w:r>
              <w:rPr>
                <w:spacing w:val="7"/>
              </w:rPr>
              <w:t xml:space="preserve">  </w:t>
            </w:r>
            <w:r>
              <w:rPr>
                <w:rFonts w:hint="eastAsia" w:ascii="Times New Roman" w:hAnsi="Times New Roman" w:cs="Times New Roman"/>
                <w:spacing w:val="-7"/>
                <w:lang w:eastAsia="zh-CN"/>
              </w:rPr>
              <w:t>□</w:t>
            </w:r>
            <w:r>
              <w:rPr>
                <w:spacing w:val="-7"/>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500" w:type="pct"/>
            <w:gridSpan w:val="2"/>
            <w:vAlign w:val="center"/>
          </w:tcPr>
          <w:p>
            <w:pPr>
              <w:pStyle w:val="243"/>
              <w:spacing w:before="148" w:line="221" w:lineRule="auto"/>
              <w:ind w:left="117"/>
              <w:jc w:val="center"/>
            </w:pPr>
            <w:r>
              <w:rPr>
                <w:spacing w:val="-4"/>
                <w14:textOutline w14:w="3263" w14:cap="sq" w14:cmpd="sng" w14:algn="ctr">
                  <w14:solidFill>
                    <w14:srgbClr w14:val="000000"/>
                  </w14:solidFill>
                  <w14:prstDash w14:val="solid"/>
                  <w14:bevel/>
                </w14:textOutline>
              </w:rPr>
              <w:t>备注：</w:t>
            </w:r>
          </w:p>
        </w:tc>
        <w:tc>
          <w:tcPr>
            <w:tcW w:w="4499" w:type="pct"/>
            <w:gridSpan w:val="14"/>
            <w:vAlign w:val="center"/>
          </w:tcPr>
          <w:p>
            <w:pPr>
              <w:jc w:val="center"/>
              <w:rPr>
                <w:rFonts w:ascii="Arial"/>
              </w:rPr>
            </w:pPr>
          </w:p>
        </w:tc>
      </w:tr>
    </w:tbl>
    <w:p>
      <w:pPr>
        <w:pStyle w:val="56"/>
        <w:ind w:firstLine="420"/>
      </w:pPr>
    </w:p>
    <w:p>
      <w:pPr>
        <w:pStyle w:val="56"/>
        <w:ind w:firstLine="420"/>
      </w:pPr>
    </w:p>
    <w:p>
      <w:pPr>
        <w:pStyle w:val="56"/>
        <w:ind w:firstLine="420"/>
      </w:pPr>
    </w:p>
    <w:p>
      <w:pPr>
        <w:pStyle w:val="56"/>
        <w:ind w:firstLine="420"/>
      </w:pPr>
    </w:p>
    <w:p>
      <w:pPr>
        <w:pStyle w:val="56"/>
        <w:ind w:firstLine="420"/>
        <w:sectPr>
          <w:pgSz w:w="23811" w:h="16838" w:orient="landscape"/>
          <w:pgMar w:top="1134" w:right="1928" w:bottom="1134" w:left="1134" w:header="1418" w:footer="1134" w:gutter="283"/>
          <w:cols w:space="0" w:num="1"/>
          <w:formProt w:val="0"/>
          <w:docGrid w:type="lines" w:linePitch="316"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7" w:name="_Toc148526846"/>
      <w:r>
        <w:rPr>
          <w:rFonts w:hint="eastAsia"/>
        </w:rPr>
        <w:t>（资料性）</w:t>
      </w:r>
      <w:r>
        <w:br w:type="textWrapping"/>
      </w:r>
      <w:r>
        <w:rPr>
          <w:rFonts w:hint="eastAsia"/>
        </w:rPr>
        <w:t>二次供水设施验收意见表</w:t>
      </w:r>
      <w:bookmarkEnd w:id="107"/>
    </w:p>
    <w:p>
      <w:pPr>
        <w:pStyle w:val="56"/>
        <w:ind w:firstLine="420"/>
        <w:jc w:val="center"/>
        <w:rPr>
          <w:rFonts w:ascii="黑体" w:hAnsi="黑体" w:eastAsia="黑体"/>
        </w:rPr>
      </w:pPr>
      <w:r>
        <w:rPr>
          <w:rFonts w:hint="eastAsia" w:ascii="黑体" w:hAnsi="黑体" w:eastAsia="黑体"/>
        </w:rPr>
        <w:t>表</w:t>
      </w:r>
      <w:r>
        <w:rPr>
          <w:rFonts w:ascii="黑体" w:hAnsi="黑体" w:eastAsia="黑体"/>
        </w:rPr>
        <w:t xml:space="preserve">E.1 </w:t>
      </w:r>
      <w:r>
        <w:rPr>
          <w:rFonts w:hint="eastAsia" w:ascii="黑体" w:hAnsi="黑体" w:eastAsia="黑体"/>
        </w:rPr>
        <w:t>二次供水设施验收意见表</w:t>
      </w:r>
    </w:p>
    <w:tbl>
      <w:tblPr>
        <w:tblStyle w:val="244"/>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2"/>
        <w:gridCol w:w="2556"/>
        <w:gridCol w:w="1562"/>
        <w:gridCol w:w="35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682" w:type="dxa"/>
          </w:tcPr>
          <w:p>
            <w:pPr>
              <w:pStyle w:val="243"/>
              <w:spacing w:before="33" w:line="219" w:lineRule="auto"/>
              <w:ind w:left="483"/>
            </w:pPr>
            <w:r>
              <w:rPr>
                <w:spacing w:val="-2"/>
              </w:rPr>
              <w:t>泵房名称</w:t>
            </w:r>
          </w:p>
        </w:tc>
        <w:tc>
          <w:tcPr>
            <w:tcW w:w="7677" w:type="dxa"/>
            <w:gridSpan w:val="3"/>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682" w:type="dxa"/>
          </w:tcPr>
          <w:p>
            <w:pPr>
              <w:pStyle w:val="243"/>
              <w:spacing w:before="28" w:line="221" w:lineRule="auto"/>
              <w:ind w:left="487"/>
            </w:pPr>
            <w:r>
              <w:rPr>
                <w:spacing w:val="-3"/>
              </w:rPr>
              <w:t>小区地址</w:t>
            </w:r>
          </w:p>
        </w:tc>
        <w:tc>
          <w:tcPr>
            <w:tcW w:w="7677" w:type="dxa"/>
            <w:gridSpan w:val="3"/>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0" w:hRule="atLeast"/>
        </w:trPr>
        <w:tc>
          <w:tcPr>
            <w:tcW w:w="1682" w:type="dxa"/>
            <w:vAlign w:val="center"/>
          </w:tcPr>
          <w:p>
            <w:pPr>
              <w:pStyle w:val="243"/>
              <w:spacing w:before="58" w:line="219" w:lineRule="auto"/>
              <w:jc w:val="center"/>
            </w:pPr>
            <w:r>
              <w:rPr>
                <w:spacing w:val="-2"/>
              </w:rPr>
              <w:t>主要检查项目</w:t>
            </w:r>
          </w:p>
        </w:tc>
        <w:tc>
          <w:tcPr>
            <w:tcW w:w="7677" w:type="dxa"/>
            <w:gridSpan w:val="3"/>
          </w:tcPr>
          <w:p>
            <w:pPr>
              <w:widowControl/>
              <w:spacing w:line="360" w:lineRule="auto"/>
              <w:jc w:val="left"/>
              <w:rPr>
                <w:rFonts w:ascii="宋体" w:hAnsi="宋体"/>
              </w:rPr>
            </w:pPr>
            <w:r>
              <w:rPr>
                <w:rFonts w:ascii="宋体" w:hAnsi="宋体"/>
                <w:color w:val="000000"/>
                <w:kern w:val="0"/>
                <w:sz w:val="18"/>
                <w:szCs w:val="18"/>
                <w:lang w:bidi="ar"/>
              </w:rPr>
              <w:t xml:space="preserve">1 </w:t>
            </w:r>
            <w:r>
              <w:rPr>
                <w:rFonts w:hint="eastAsia" w:ascii="宋体" w:hAnsi="宋体" w:cs="宋体"/>
                <w:color w:val="000000"/>
                <w:kern w:val="0"/>
                <w:sz w:val="18"/>
                <w:szCs w:val="18"/>
                <w:lang w:bidi="ar"/>
              </w:rPr>
              <w:t xml:space="preserve">电源可靠性； </w:t>
            </w:r>
          </w:p>
          <w:p>
            <w:pPr>
              <w:widowControl/>
              <w:spacing w:line="360" w:lineRule="auto"/>
              <w:jc w:val="left"/>
              <w:rPr>
                <w:rFonts w:ascii="宋体" w:hAnsi="宋体"/>
              </w:rPr>
            </w:pPr>
            <w:r>
              <w:rPr>
                <w:rFonts w:ascii="宋体" w:hAnsi="宋体"/>
                <w:color w:val="000000"/>
                <w:kern w:val="0"/>
                <w:sz w:val="18"/>
                <w:szCs w:val="18"/>
                <w:lang w:bidi="ar"/>
              </w:rPr>
              <w:t xml:space="preserve">2 </w:t>
            </w:r>
            <w:r>
              <w:rPr>
                <w:rFonts w:hint="eastAsia" w:ascii="宋体" w:hAnsi="宋体" w:cs="宋体"/>
                <w:color w:val="000000"/>
                <w:kern w:val="0"/>
                <w:sz w:val="18"/>
                <w:szCs w:val="18"/>
                <w:lang w:bidi="ar"/>
              </w:rPr>
              <w:t xml:space="preserve">水泵机组运行状况和扬程、流量等参数； </w:t>
            </w:r>
          </w:p>
          <w:p>
            <w:pPr>
              <w:widowControl/>
              <w:spacing w:line="360" w:lineRule="auto"/>
              <w:jc w:val="left"/>
              <w:rPr>
                <w:rFonts w:ascii="宋体" w:hAnsi="宋体"/>
              </w:rPr>
            </w:pPr>
            <w:r>
              <w:rPr>
                <w:rFonts w:ascii="宋体" w:hAnsi="宋体"/>
                <w:color w:val="000000"/>
                <w:kern w:val="0"/>
                <w:sz w:val="18"/>
                <w:szCs w:val="18"/>
                <w:lang w:bidi="ar"/>
              </w:rPr>
              <w:t xml:space="preserve">3 </w:t>
            </w:r>
            <w:r>
              <w:rPr>
                <w:rFonts w:hint="eastAsia" w:ascii="宋体" w:hAnsi="宋体" w:cs="宋体"/>
                <w:color w:val="000000"/>
                <w:kern w:val="0"/>
                <w:sz w:val="18"/>
                <w:szCs w:val="18"/>
                <w:lang w:bidi="ar"/>
              </w:rPr>
              <w:t xml:space="preserve">供水管网水压达到设定值时，系统的可靠性； </w:t>
            </w:r>
          </w:p>
          <w:p>
            <w:pPr>
              <w:widowControl/>
              <w:spacing w:line="360" w:lineRule="auto"/>
              <w:jc w:val="left"/>
              <w:rPr>
                <w:rFonts w:ascii="宋体" w:hAnsi="宋体"/>
              </w:rPr>
            </w:pPr>
            <w:r>
              <w:rPr>
                <w:rFonts w:ascii="宋体" w:hAnsi="宋体"/>
                <w:color w:val="000000"/>
                <w:kern w:val="0"/>
                <w:sz w:val="18"/>
                <w:szCs w:val="18"/>
                <w:lang w:bidi="ar"/>
              </w:rPr>
              <w:t xml:space="preserve">4 </w:t>
            </w:r>
            <w:r>
              <w:rPr>
                <w:rFonts w:hint="eastAsia" w:ascii="宋体" w:hAnsi="宋体" w:cs="宋体"/>
                <w:color w:val="000000"/>
                <w:kern w:val="0"/>
                <w:sz w:val="18"/>
                <w:szCs w:val="18"/>
                <w:lang w:bidi="ar"/>
              </w:rPr>
              <w:t xml:space="preserve">管道、管件、设备的材质与设计要求的一致性； </w:t>
            </w:r>
          </w:p>
          <w:p>
            <w:pPr>
              <w:widowControl/>
              <w:spacing w:line="360" w:lineRule="auto"/>
              <w:jc w:val="left"/>
              <w:rPr>
                <w:rFonts w:ascii="宋体" w:hAnsi="宋体"/>
              </w:rPr>
            </w:pPr>
            <w:r>
              <w:rPr>
                <w:rFonts w:ascii="宋体" w:hAnsi="宋体"/>
                <w:color w:val="000000"/>
                <w:kern w:val="0"/>
                <w:sz w:val="18"/>
                <w:szCs w:val="18"/>
                <w:lang w:bidi="ar"/>
              </w:rPr>
              <w:t xml:space="preserve">5 </w:t>
            </w:r>
            <w:r>
              <w:rPr>
                <w:rFonts w:hint="eastAsia" w:ascii="宋体" w:hAnsi="宋体" w:cs="宋体"/>
                <w:color w:val="000000"/>
                <w:kern w:val="0"/>
                <w:sz w:val="18"/>
                <w:szCs w:val="18"/>
                <w:lang w:bidi="ar"/>
              </w:rPr>
              <w:t xml:space="preserve">设备显示仪表的准确度； </w:t>
            </w:r>
          </w:p>
          <w:p>
            <w:pPr>
              <w:widowControl/>
              <w:spacing w:line="360" w:lineRule="auto"/>
              <w:jc w:val="left"/>
              <w:rPr>
                <w:rFonts w:ascii="宋体" w:hAnsi="宋体"/>
              </w:rPr>
            </w:pPr>
            <w:r>
              <w:rPr>
                <w:rFonts w:ascii="宋体" w:hAnsi="宋体"/>
                <w:color w:val="000000"/>
                <w:kern w:val="0"/>
                <w:sz w:val="18"/>
                <w:szCs w:val="18"/>
                <w:lang w:bidi="ar"/>
              </w:rPr>
              <w:t xml:space="preserve">6 </w:t>
            </w:r>
            <w:r>
              <w:rPr>
                <w:rFonts w:hint="eastAsia" w:ascii="宋体" w:hAnsi="宋体" w:cs="宋体"/>
                <w:color w:val="000000"/>
                <w:kern w:val="0"/>
                <w:sz w:val="18"/>
                <w:szCs w:val="18"/>
                <w:lang w:bidi="ar"/>
              </w:rPr>
              <w:t xml:space="preserve">设备控制的功能，数据传输的质量，接入信息管理系统的数据格式是否符合要求； </w:t>
            </w:r>
          </w:p>
          <w:p>
            <w:pPr>
              <w:widowControl/>
              <w:spacing w:line="360" w:lineRule="auto"/>
              <w:jc w:val="left"/>
              <w:rPr>
                <w:rFonts w:ascii="宋体" w:hAnsi="宋体"/>
              </w:rPr>
            </w:pPr>
            <w:r>
              <w:rPr>
                <w:rFonts w:ascii="宋体" w:hAnsi="宋体"/>
                <w:color w:val="000000"/>
                <w:kern w:val="0"/>
                <w:sz w:val="18"/>
                <w:szCs w:val="18"/>
                <w:lang w:bidi="ar"/>
              </w:rPr>
              <w:t xml:space="preserve">7 </w:t>
            </w:r>
            <w:r>
              <w:rPr>
                <w:rFonts w:hint="eastAsia" w:ascii="宋体" w:hAnsi="宋体" w:cs="宋体"/>
                <w:color w:val="000000"/>
                <w:kern w:val="0"/>
                <w:sz w:val="18"/>
                <w:szCs w:val="18"/>
                <w:lang w:bidi="ar"/>
              </w:rPr>
              <w:t xml:space="preserve">设备接地、防雷等保护功能； </w:t>
            </w:r>
          </w:p>
          <w:p>
            <w:pPr>
              <w:widowControl/>
              <w:spacing w:line="360" w:lineRule="auto"/>
              <w:jc w:val="left"/>
              <w:rPr>
                <w:rFonts w:ascii="宋体" w:hAnsi="宋体"/>
              </w:rPr>
            </w:pPr>
            <w:r>
              <w:rPr>
                <w:rFonts w:ascii="宋体" w:hAnsi="宋体"/>
                <w:color w:val="000000"/>
                <w:kern w:val="0"/>
                <w:sz w:val="18"/>
                <w:szCs w:val="18"/>
                <w:lang w:bidi="ar"/>
              </w:rPr>
              <w:t xml:space="preserve">8 </w:t>
            </w:r>
            <w:r>
              <w:rPr>
                <w:rFonts w:hint="eastAsia" w:ascii="宋体" w:hAnsi="宋体" w:cs="宋体"/>
                <w:color w:val="000000"/>
                <w:kern w:val="0"/>
                <w:sz w:val="18"/>
                <w:szCs w:val="18"/>
                <w:lang w:bidi="ar"/>
              </w:rPr>
              <w:t xml:space="preserve">水池（箱）的材质与设置； </w:t>
            </w:r>
          </w:p>
          <w:p>
            <w:pPr>
              <w:widowControl/>
              <w:spacing w:line="360" w:lineRule="auto"/>
              <w:jc w:val="left"/>
              <w:rPr>
                <w:rFonts w:ascii="宋体" w:hAnsi="宋体"/>
              </w:rPr>
            </w:pPr>
            <w:r>
              <w:rPr>
                <w:rFonts w:ascii="宋体" w:hAnsi="宋体"/>
                <w:color w:val="000000"/>
                <w:kern w:val="0"/>
                <w:sz w:val="18"/>
                <w:szCs w:val="18"/>
                <w:lang w:bidi="ar"/>
              </w:rPr>
              <w:t xml:space="preserve">9 </w:t>
            </w:r>
            <w:r>
              <w:rPr>
                <w:rFonts w:hint="eastAsia" w:ascii="宋体" w:hAnsi="宋体" w:cs="宋体"/>
                <w:color w:val="000000"/>
                <w:kern w:val="0"/>
                <w:sz w:val="18"/>
                <w:szCs w:val="18"/>
                <w:lang w:bidi="ar"/>
              </w:rPr>
              <w:t xml:space="preserve">供水设备的排水、通风、保温等环境状况。 </w:t>
            </w:r>
          </w:p>
          <w:p>
            <w:pPr>
              <w:widowControl/>
              <w:spacing w:line="360" w:lineRule="auto"/>
              <w:jc w:val="left"/>
              <w:rPr>
                <w:rFonts w:ascii="宋体" w:hAnsi="宋体"/>
              </w:rPr>
            </w:pPr>
            <w:r>
              <w:rPr>
                <w:rFonts w:ascii="宋体" w:hAnsi="宋体"/>
                <w:color w:val="000000"/>
                <w:kern w:val="0"/>
                <w:sz w:val="18"/>
                <w:szCs w:val="18"/>
                <w:lang w:bidi="ar"/>
              </w:rPr>
              <w:t xml:space="preserve">10 </w:t>
            </w:r>
            <w:r>
              <w:rPr>
                <w:rFonts w:hint="eastAsia" w:ascii="宋体" w:hAnsi="宋体" w:cs="宋体"/>
                <w:color w:val="000000"/>
                <w:kern w:val="0"/>
                <w:sz w:val="18"/>
                <w:szCs w:val="18"/>
                <w:lang w:bidi="ar"/>
              </w:rPr>
              <w:t xml:space="preserve">防回流污染设施的安全性； </w:t>
            </w:r>
          </w:p>
          <w:p>
            <w:pPr>
              <w:widowControl/>
              <w:spacing w:line="360" w:lineRule="auto"/>
              <w:jc w:val="left"/>
              <w:rPr>
                <w:rFonts w:ascii="宋体" w:hAnsi="宋体"/>
              </w:rPr>
            </w:pPr>
            <w:r>
              <w:rPr>
                <w:rFonts w:ascii="宋体" w:hAnsi="宋体"/>
                <w:color w:val="000000"/>
                <w:kern w:val="0"/>
                <w:sz w:val="18"/>
                <w:szCs w:val="18"/>
                <w:lang w:bidi="ar"/>
              </w:rPr>
              <w:t xml:space="preserve">11 </w:t>
            </w:r>
            <w:r>
              <w:rPr>
                <w:rFonts w:hint="eastAsia" w:ascii="宋体" w:hAnsi="宋体" w:cs="宋体"/>
                <w:color w:val="000000"/>
                <w:kern w:val="0"/>
                <w:sz w:val="18"/>
                <w:szCs w:val="18"/>
                <w:lang w:bidi="ar"/>
              </w:rPr>
              <w:t xml:space="preserve">供水设备的减振措施及环境噪声的控制； </w:t>
            </w:r>
          </w:p>
          <w:p>
            <w:pPr>
              <w:widowControl/>
              <w:spacing w:line="360" w:lineRule="auto"/>
              <w:jc w:val="left"/>
              <w:rPr>
                <w:rFonts w:ascii="宋体" w:hAnsi="宋体"/>
              </w:rPr>
            </w:pPr>
            <w:r>
              <w:rPr>
                <w:rFonts w:ascii="宋体" w:hAnsi="宋体"/>
                <w:color w:val="000000"/>
                <w:kern w:val="0"/>
                <w:sz w:val="18"/>
                <w:szCs w:val="18"/>
                <w:lang w:bidi="ar"/>
              </w:rPr>
              <w:t xml:space="preserve">12 </w:t>
            </w:r>
            <w:r>
              <w:rPr>
                <w:rFonts w:hint="eastAsia" w:ascii="宋体" w:hAnsi="宋体" w:cs="宋体"/>
                <w:color w:val="000000"/>
                <w:kern w:val="0"/>
                <w:sz w:val="18"/>
                <w:szCs w:val="18"/>
                <w:lang w:bidi="ar"/>
              </w:rPr>
              <w:t>消毒设备的安全运行。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682" w:type="dxa"/>
            <w:vMerge w:val="restart"/>
            <w:tcBorders>
              <w:bottom w:val="nil"/>
            </w:tcBorders>
            <w:vAlign w:val="center"/>
          </w:tcPr>
          <w:p>
            <w:pPr>
              <w:pStyle w:val="243"/>
              <w:spacing w:before="59" w:line="219" w:lineRule="auto"/>
              <w:jc w:val="center"/>
            </w:pPr>
            <w:r>
              <w:rPr>
                <w:spacing w:val="-2"/>
              </w:rPr>
              <w:t>验收意见</w:t>
            </w:r>
          </w:p>
        </w:tc>
        <w:tc>
          <w:tcPr>
            <w:tcW w:w="7677" w:type="dxa"/>
            <w:gridSpan w:val="3"/>
          </w:tcPr>
          <w:p>
            <w:pPr>
              <w:pStyle w:val="243"/>
              <w:spacing w:before="145" w:line="219" w:lineRule="auto"/>
              <w:ind w:left="117"/>
            </w:pPr>
            <w:r>
              <w:rPr>
                <w:rFonts w:hint="eastAsia" w:cs="Times New Roman"/>
                <w:spacing w:val="-3"/>
                <w:lang w:eastAsia="zh-CN"/>
              </w:rPr>
              <w:t>□</w:t>
            </w:r>
            <w:r>
              <w:rPr>
                <w:spacing w:val="-3"/>
              </w:rPr>
              <w:t>验收合格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682" w:type="dxa"/>
            <w:vMerge w:val="continue"/>
            <w:tcBorders>
              <w:top w:val="nil"/>
            </w:tcBorders>
            <w:vAlign w:val="center"/>
          </w:tcPr>
          <w:p>
            <w:pPr>
              <w:rPr>
                <w:rFonts w:ascii="宋体" w:hAnsi="宋体"/>
              </w:rPr>
            </w:pPr>
          </w:p>
        </w:tc>
        <w:tc>
          <w:tcPr>
            <w:tcW w:w="7677" w:type="dxa"/>
            <w:gridSpan w:val="3"/>
          </w:tcPr>
          <w:p>
            <w:pPr>
              <w:pStyle w:val="243"/>
              <w:spacing w:before="147" w:line="219" w:lineRule="auto"/>
              <w:ind w:left="117"/>
              <w:rPr>
                <w:lang w:eastAsia="zh-CN"/>
              </w:rPr>
            </w:pPr>
            <w:r>
              <w:rPr>
                <w:rFonts w:hint="eastAsia" w:cs="Times New Roman"/>
                <w:spacing w:val="-1"/>
                <w:lang w:eastAsia="zh-CN"/>
              </w:rPr>
              <w:t>□</w:t>
            </w:r>
            <w:r>
              <w:rPr>
                <w:spacing w:val="-1"/>
                <w:lang w:eastAsia="zh-CN"/>
              </w:rPr>
              <w:t>验收不合格，存在的主要问题如下：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682" w:type="dxa"/>
            <w:vAlign w:val="center"/>
          </w:tcPr>
          <w:p>
            <w:pPr>
              <w:widowControl/>
              <w:spacing w:line="360" w:lineRule="auto"/>
              <w:ind w:firstLine="180" w:firstLineChars="100"/>
              <w:jc w:val="left"/>
              <w:rPr>
                <w:rFonts w:ascii="宋体" w:hAnsi="宋体" w:cs="宋体"/>
                <w:color w:val="000000"/>
                <w:kern w:val="0"/>
                <w:sz w:val="18"/>
                <w:szCs w:val="18"/>
                <w:lang w:bidi="ar"/>
              </w:rPr>
            </w:pPr>
            <w:r>
              <w:rPr>
                <w:rFonts w:hint="eastAsia" w:ascii="宋体" w:hAnsi="宋体" w:cs="宋体"/>
                <w:color w:val="000000"/>
                <w:kern w:val="0"/>
                <w:sz w:val="18"/>
                <w:szCs w:val="18"/>
                <w:lang w:bidi="ar"/>
              </w:rPr>
              <w:t>验收参与人员</w:t>
            </w:r>
          </w:p>
        </w:tc>
        <w:tc>
          <w:tcPr>
            <w:tcW w:w="7677" w:type="dxa"/>
            <w:gridSpan w:val="3"/>
            <w:vAlign w:val="center"/>
          </w:tcPr>
          <w:p>
            <w:pPr>
              <w:pStyle w:val="243"/>
              <w:spacing w:before="59" w:line="210" w:lineRule="auto"/>
              <w:ind w:left="111"/>
              <w:rPr>
                <w:rFonts w:cs="Times New Roman"/>
                <w:spacing w:val="-1"/>
              </w:rPr>
            </w:pPr>
          </w:p>
          <w:p>
            <w:pPr>
              <w:pStyle w:val="243"/>
              <w:spacing w:before="59" w:line="210" w:lineRule="auto"/>
              <w:rPr>
                <w:rFonts w:cs="Times New Roman"/>
                <w:spacing w:val="-1"/>
              </w:rPr>
            </w:pPr>
          </w:p>
          <w:p>
            <w:pPr>
              <w:pStyle w:val="243"/>
              <w:spacing w:before="59" w:line="210" w:lineRule="auto"/>
              <w:ind w:left="111"/>
              <w:rPr>
                <w:rFonts w:cs="Times New Roman"/>
              </w:rPr>
            </w:pPr>
            <w:r>
              <w:rPr>
                <w:rFonts w:cs="Times New Roman"/>
                <w:spacing w:val="-1"/>
              </w:rPr>
              <w:t>(</w:t>
            </w:r>
            <w:r>
              <w:rPr>
                <w:spacing w:val="-1"/>
              </w:rPr>
              <w:t>请用</w:t>
            </w:r>
            <w:r>
              <w:rPr>
                <w:spacing w:val="-1"/>
                <w14:textOutline w14:w="3263" w14:cap="sq" w14:cmpd="sng" w14:algn="ctr">
                  <w14:solidFill>
                    <w14:srgbClr w14:val="000000"/>
                  </w14:solidFill>
                  <w14:prstDash w14:val="solid"/>
                  <w14:bevel/>
                </w14:textOutline>
              </w:rPr>
              <w:t>正楷字</w:t>
            </w:r>
            <w:r>
              <w:rPr>
                <w:spacing w:val="-1"/>
              </w:rPr>
              <w:t>签名</w:t>
            </w:r>
            <w:r>
              <w:rPr>
                <w:rFonts w:cs="Times New Roman"/>
                <w:spacing w:val="-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trPr>
        <w:tc>
          <w:tcPr>
            <w:tcW w:w="1682" w:type="dxa"/>
            <w:vAlign w:val="center"/>
          </w:tcPr>
          <w:p>
            <w:pPr>
              <w:pStyle w:val="243"/>
              <w:spacing w:before="58" w:line="219" w:lineRule="auto"/>
            </w:pPr>
            <w:r>
              <w:rPr>
                <w:spacing w:val="-2"/>
              </w:rPr>
              <w:t>施工单位意见</w:t>
            </w:r>
          </w:p>
        </w:tc>
        <w:tc>
          <w:tcPr>
            <w:tcW w:w="2556" w:type="dxa"/>
          </w:tcPr>
          <w:p>
            <w:pPr>
              <w:rPr>
                <w:rFonts w:ascii="宋体" w:hAnsi="宋体"/>
              </w:rPr>
            </w:pPr>
          </w:p>
        </w:tc>
        <w:tc>
          <w:tcPr>
            <w:tcW w:w="1562" w:type="dxa"/>
          </w:tcPr>
          <w:p>
            <w:pPr>
              <w:widowControl/>
              <w:jc w:val="center"/>
              <w:rPr>
                <w:rFonts w:ascii="宋体" w:hAnsi="宋体"/>
              </w:rPr>
            </w:pPr>
            <w:r>
              <w:rPr>
                <w:rFonts w:hint="eastAsia" w:ascii="宋体" w:hAnsi="宋体" w:cs="宋体"/>
                <w:color w:val="000000"/>
                <w:kern w:val="0"/>
                <w:sz w:val="18"/>
                <w:szCs w:val="18"/>
                <w:lang w:bidi="ar"/>
              </w:rPr>
              <w:t>监理单位</w:t>
            </w:r>
          </w:p>
          <w:p>
            <w:pPr>
              <w:widowControl/>
              <w:jc w:val="center"/>
              <w:rPr>
                <w:rFonts w:ascii="宋体" w:hAnsi="宋体"/>
              </w:rPr>
            </w:pPr>
            <w:r>
              <w:rPr>
                <w:rFonts w:hint="eastAsia" w:ascii="宋体" w:hAnsi="宋体" w:cs="宋体"/>
                <w:color w:val="000000"/>
                <w:kern w:val="0"/>
                <w:sz w:val="18"/>
                <w:szCs w:val="18"/>
                <w:lang w:bidi="ar"/>
              </w:rPr>
              <w:t>意见</w:t>
            </w:r>
          </w:p>
        </w:tc>
        <w:tc>
          <w:tcPr>
            <w:tcW w:w="3559" w:type="dxa"/>
          </w:tcPr>
          <w:p>
            <w:pPr>
              <w:rPr>
                <w:rFonts w:ascii="宋体" w:hAnsi="宋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1" w:hRule="atLeast"/>
        </w:trPr>
        <w:tc>
          <w:tcPr>
            <w:tcW w:w="1682" w:type="dxa"/>
            <w:vAlign w:val="center"/>
          </w:tcPr>
          <w:p>
            <w:pPr>
              <w:pStyle w:val="243"/>
              <w:spacing w:before="58" w:line="219" w:lineRule="auto"/>
            </w:pPr>
            <w:r>
              <w:rPr>
                <w:spacing w:val="-2"/>
              </w:rPr>
              <w:t>建设单位意见</w:t>
            </w:r>
          </w:p>
        </w:tc>
        <w:tc>
          <w:tcPr>
            <w:tcW w:w="2556" w:type="dxa"/>
          </w:tcPr>
          <w:p>
            <w:pPr>
              <w:rPr>
                <w:rFonts w:ascii="宋体" w:hAnsi="宋体"/>
              </w:rPr>
            </w:pPr>
          </w:p>
        </w:tc>
        <w:tc>
          <w:tcPr>
            <w:tcW w:w="1562" w:type="dxa"/>
          </w:tcPr>
          <w:p>
            <w:pPr>
              <w:widowControl/>
              <w:jc w:val="center"/>
              <w:rPr>
                <w:rFonts w:ascii="宋体" w:hAnsi="宋体"/>
              </w:rPr>
            </w:pPr>
            <w:r>
              <w:rPr>
                <w:rFonts w:hint="eastAsia" w:ascii="宋体" w:hAnsi="宋体" w:cs="宋体"/>
                <w:color w:val="000000"/>
                <w:kern w:val="0"/>
                <w:sz w:val="18"/>
                <w:szCs w:val="18"/>
                <w:lang w:bidi="ar"/>
              </w:rPr>
              <w:t>运营单位</w:t>
            </w:r>
          </w:p>
          <w:p>
            <w:pPr>
              <w:widowControl/>
              <w:jc w:val="center"/>
              <w:rPr>
                <w:rFonts w:ascii="宋体" w:hAnsi="宋体"/>
              </w:rPr>
            </w:pPr>
            <w:r>
              <w:rPr>
                <w:rFonts w:hint="eastAsia" w:ascii="宋体" w:hAnsi="宋体" w:cs="宋体"/>
                <w:color w:val="000000"/>
                <w:kern w:val="0"/>
                <w:sz w:val="18"/>
                <w:szCs w:val="18"/>
                <w:lang w:bidi="ar"/>
              </w:rPr>
              <w:t>意见</w:t>
            </w:r>
          </w:p>
        </w:tc>
        <w:tc>
          <w:tcPr>
            <w:tcW w:w="3559" w:type="dxa"/>
          </w:tcPr>
          <w:p>
            <w:pPr>
              <w:rPr>
                <w:rFonts w:ascii="宋体" w:hAnsi="宋体"/>
              </w:rPr>
            </w:pPr>
          </w:p>
        </w:tc>
      </w:tr>
    </w:tbl>
    <w:p>
      <w:pPr>
        <w:pStyle w:val="56"/>
        <w:ind w:firstLine="0" w:firstLineChars="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8" w:name="_Toc148526847"/>
      <w:r>
        <w:rPr>
          <w:rFonts w:hint="eastAsia"/>
        </w:rPr>
        <w:t>（资料性）</w:t>
      </w:r>
      <w:r>
        <w:br w:type="textWrapping"/>
      </w:r>
      <w:r>
        <w:rPr>
          <w:rFonts w:hint="eastAsia"/>
        </w:rPr>
        <w:t>泵房工程质量保修书（范本）</w:t>
      </w:r>
      <w:bookmarkEnd w:id="108"/>
    </w:p>
    <w:p>
      <w:pPr>
        <w:pStyle w:val="56"/>
        <w:spacing w:line="360" w:lineRule="auto"/>
        <w:ind w:firstLine="420"/>
      </w:pPr>
      <w:r>
        <w:rPr>
          <w:rFonts w:hint="eastAsia"/>
        </w:rPr>
        <w:t>施工单位：</w:t>
      </w:r>
    </w:p>
    <w:p>
      <w:pPr>
        <w:pStyle w:val="56"/>
        <w:spacing w:line="360" w:lineRule="auto"/>
        <w:ind w:firstLine="420"/>
      </w:pPr>
      <w:r>
        <w:rPr>
          <w:rFonts w:hint="eastAsia"/>
        </w:rPr>
        <w:t>运营单位：</w:t>
      </w:r>
    </w:p>
    <w:p>
      <w:pPr>
        <w:pStyle w:val="56"/>
        <w:spacing w:line="360" w:lineRule="auto"/>
        <w:ind w:firstLine="420"/>
      </w:pPr>
      <w:r>
        <w:rPr>
          <w:rFonts w:hint="eastAsia"/>
        </w:rPr>
        <w:t>为保证</w:t>
      </w:r>
      <w:r>
        <w:rPr>
          <w:rFonts w:hint="eastAsia"/>
          <w:u w:val="single"/>
        </w:rPr>
        <w:t xml:space="preserve">            </w:t>
      </w:r>
      <w:r>
        <w:rPr>
          <w:rFonts w:hint="eastAsia"/>
        </w:rPr>
        <w:t>二次供水设施提标改造工程（工程名称）的施工质量，运营单位和施工单位根据《中华人民共和国建筑法》、《建设工程质量管理条例》，经协商一致，签订工程质量保修书。施工单位在质量保修期内按照有关规定及双方约定承担工程质量缺陷保修责任。</w:t>
      </w:r>
    </w:p>
    <w:p>
      <w:pPr>
        <w:pStyle w:val="56"/>
        <w:spacing w:line="360" w:lineRule="auto"/>
        <w:ind w:firstLine="420"/>
      </w:pPr>
      <w:r>
        <w:rPr>
          <w:rFonts w:hint="eastAsia"/>
        </w:rPr>
        <w:t>一、工程质量缺陷保修范围</w:t>
      </w:r>
    </w:p>
    <w:p>
      <w:pPr>
        <w:pStyle w:val="56"/>
        <w:spacing w:line="360" w:lineRule="auto"/>
        <w:ind w:firstLine="420"/>
      </w:pPr>
      <w:r>
        <w:rPr>
          <w:rFonts w:hint="eastAsia"/>
        </w:rPr>
        <w:t>质量缺陷保修范围包括给排水管道工程、设备安装工程、电气管线工程、装饰装修工程以及双方约定的其他项目。</w:t>
      </w:r>
    </w:p>
    <w:p>
      <w:pPr>
        <w:pStyle w:val="56"/>
        <w:spacing w:line="360" w:lineRule="auto"/>
        <w:ind w:firstLine="420"/>
      </w:pPr>
      <w:r>
        <w:rPr>
          <w:rFonts w:hint="eastAsia"/>
        </w:rPr>
        <w:t>二、工程质量缺陷保修期</w:t>
      </w:r>
    </w:p>
    <w:p>
      <w:pPr>
        <w:pStyle w:val="56"/>
        <w:spacing w:line="360" w:lineRule="auto"/>
        <w:ind w:firstLine="420"/>
      </w:pPr>
      <w:r>
        <w:rPr>
          <w:rFonts w:hint="eastAsia"/>
        </w:rPr>
        <w:t>质量保修期从单体泵房验收合格之日起计，按单体泵房计算工程质量保修期。双方约定本工程质量缺陷保修期如下：</w:t>
      </w:r>
    </w:p>
    <w:p>
      <w:pPr>
        <w:pStyle w:val="56"/>
        <w:spacing w:line="360" w:lineRule="auto"/>
        <w:ind w:firstLine="420"/>
      </w:pPr>
      <w:r>
        <w:rPr>
          <w:rFonts w:hint="eastAsia"/>
        </w:rPr>
        <w:t>电气管线工程、给排水管道工程、设备安装工程为</w:t>
      </w:r>
      <w:r>
        <w:rPr>
          <w:rFonts w:hint="eastAsia"/>
          <w:u w:val="single"/>
        </w:rPr>
        <w:t xml:space="preserve">   </w:t>
      </w:r>
      <w:r>
        <w:rPr>
          <w:rFonts w:hint="eastAsia"/>
        </w:rPr>
        <w:t>年；</w:t>
      </w:r>
    </w:p>
    <w:p>
      <w:pPr>
        <w:pStyle w:val="56"/>
        <w:spacing w:line="360" w:lineRule="auto"/>
        <w:ind w:firstLine="420"/>
      </w:pPr>
      <w:r>
        <w:rPr>
          <w:rFonts w:hint="eastAsia"/>
        </w:rPr>
        <w:t>装饰装修工程为</w:t>
      </w:r>
      <w:r>
        <w:rPr>
          <w:rFonts w:hint="eastAsia"/>
          <w:u w:val="single"/>
        </w:rPr>
        <w:t xml:space="preserve">   </w:t>
      </w:r>
      <w:r>
        <w:rPr>
          <w:rFonts w:hint="eastAsia"/>
        </w:rPr>
        <w:t>年；</w:t>
      </w:r>
    </w:p>
    <w:p>
      <w:pPr>
        <w:pStyle w:val="56"/>
        <w:spacing w:line="360" w:lineRule="auto"/>
        <w:ind w:firstLine="420"/>
      </w:pPr>
      <w:r>
        <w:rPr>
          <w:rFonts w:hint="eastAsia"/>
        </w:rPr>
        <w:t>主要设备保修期按照设备厂家或供应商承诺的保修期，但不得低于</w:t>
      </w:r>
      <w:r>
        <w:rPr>
          <w:rFonts w:hint="eastAsia"/>
          <w:u w:val="single"/>
        </w:rPr>
        <w:t xml:space="preserve">   </w:t>
      </w:r>
      <w:r>
        <w:rPr>
          <w:rFonts w:hint="eastAsia"/>
        </w:rPr>
        <w:t>年；</w:t>
      </w:r>
    </w:p>
    <w:p>
      <w:pPr>
        <w:pStyle w:val="56"/>
        <w:spacing w:line="360" w:lineRule="auto"/>
        <w:ind w:firstLine="420"/>
      </w:pPr>
      <w:r>
        <w:rPr>
          <w:rFonts w:hint="eastAsia"/>
        </w:rPr>
        <w:t>其他项目保修期约定为：</w:t>
      </w:r>
      <w:r>
        <w:rPr>
          <w:rFonts w:hint="eastAsia"/>
          <w:u w:val="single"/>
        </w:rPr>
        <w:t xml:space="preserve">   </w:t>
      </w:r>
      <w:r>
        <w:rPr>
          <w:rFonts w:hint="eastAsia"/>
        </w:rPr>
        <w:t>年。</w:t>
      </w:r>
    </w:p>
    <w:p>
      <w:pPr>
        <w:pStyle w:val="56"/>
        <w:spacing w:line="360" w:lineRule="auto"/>
        <w:ind w:firstLine="420"/>
      </w:pPr>
      <w:r>
        <w:rPr>
          <w:rFonts w:hint="eastAsia"/>
        </w:rPr>
        <w:t>三、工程质量缺陷保修责任</w:t>
      </w:r>
    </w:p>
    <w:p>
      <w:pPr>
        <w:pStyle w:val="56"/>
        <w:spacing w:line="360" w:lineRule="auto"/>
        <w:ind w:firstLine="420"/>
      </w:pPr>
      <w:r>
        <w:rPr>
          <w:rFonts w:hint="eastAsia"/>
        </w:rPr>
        <w:t>1.对于保修范围内的项目，在保修期内，施工单位提供7*24小时电话支持服务，发生故障后接到通知需0.5小时内响应，6小时内上门维修并恢复正常；影响正常供水的，应于1小时内到达现场维修。施工单位未在约定期限内派人处理，运营单位可自行组织维修，修复费用由施工单位负责，并于7个工作日内支付。</w:t>
      </w:r>
    </w:p>
    <w:p>
      <w:pPr>
        <w:pStyle w:val="56"/>
        <w:spacing w:line="360" w:lineRule="auto"/>
        <w:ind w:firstLine="420"/>
      </w:pPr>
      <w:r>
        <w:rPr>
          <w:rFonts w:hint="eastAsia"/>
        </w:rPr>
        <w:t>2.发生紧急抢修事故的，施工单位接到事故通知后，应于1小时内赶到事故现场进行抢修。</w:t>
      </w:r>
    </w:p>
    <w:p>
      <w:pPr>
        <w:pStyle w:val="56"/>
        <w:spacing w:line="360" w:lineRule="auto"/>
        <w:ind w:firstLine="420"/>
      </w:pPr>
      <w:r>
        <w:rPr>
          <w:rFonts w:hint="eastAsia"/>
        </w:rPr>
        <w:t>四、工程质量缺陷保修费用</w:t>
      </w:r>
    </w:p>
    <w:p>
      <w:pPr>
        <w:pStyle w:val="56"/>
        <w:spacing w:line="360" w:lineRule="auto"/>
        <w:ind w:firstLine="420"/>
      </w:pPr>
      <w:r>
        <w:rPr>
          <w:rFonts w:hint="eastAsia"/>
        </w:rPr>
        <w:t>工程质量保修费用及相关的损害赔偿责任由造成质量缺陷的责任方承担，并由施工单位负责缴纳。</w:t>
      </w:r>
    </w:p>
    <w:p>
      <w:pPr>
        <w:pStyle w:val="56"/>
        <w:spacing w:line="360" w:lineRule="auto"/>
        <w:ind w:firstLine="420"/>
      </w:pPr>
    </w:p>
    <w:p>
      <w:pPr>
        <w:pStyle w:val="56"/>
        <w:spacing w:line="360" w:lineRule="auto"/>
        <w:ind w:firstLine="420"/>
      </w:pPr>
    </w:p>
    <w:p>
      <w:pPr>
        <w:pStyle w:val="56"/>
        <w:spacing w:line="360" w:lineRule="auto"/>
        <w:ind w:firstLine="420"/>
      </w:pPr>
      <w:r>
        <w:rPr>
          <w:rFonts w:hint="eastAsia"/>
        </w:rPr>
        <w:t xml:space="preserve">施工单位 (公章) ：   </w:t>
      </w:r>
      <w:r>
        <w:t xml:space="preserve">                    </w:t>
      </w:r>
      <w:r>
        <w:rPr>
          <w:rFonts w:hint="eastAsia"/>
        </w:rPr>
        <w:t>运营单位(公章)：</w:t>
      </w:r>
    </w:p>
    <w:p>
      <w:pPr>
        <w:pStyle w:val="56"/>
        <w:spacing w:line="360" w:lineRule="auto"/>
        <w:ind w:firstLine="420"/>
      </w:pPr>
    </w:p>
    <w:p>
      <w:pPr>
        <w:pStyle w:val="56"/>
        <w:spacing w:line="360" w:lineRule="auto"/>
        <w:ind w:firstLine="420"/>
      </w:pPr>
      <w:r>
        <w:rPr>
          <w:rFonts w:hint="eastAsia"/>
        </w:rPr>
        <w:t xml:space="preserve">法定代表人(签字) ：   </w:t>
      </w:r>
      <w:r>
        <w:t xml:space="preserve">                   </w:t>
      </w:r>
      <w:r>
        <w:rPr>
          <w:rFonts w:hint="eastAsia"/>
        </w:rPr>
        <w:t>法定代表人(签字)：</w:t>
      </w:r>
    </w:p>
    <w:p>
      <w:pPr>
        <w:pStyle w:val="56"/>
        <w:spacing w:line="360" w:lineRule="auto"/>
        <w:ind w:firstLine="735" w:firstLineChars="350"/>
      </w:pPr>
      <w:r>
        <w:rPr>
          <w:rFonts w:hint="eastAsia"/>
        </w:rPr>
        <w:t xml:space="preserve">年  月  日              </w:t>
      </w:r>
      <w:r>
        <w:t xml:space="preserve">                   </w:t>
      </w:r>
      <w:r>
        <w:rPr>
          <w:rFonts w:hint="eastAsia"/>
        </w:rPr>
        <w:t>年  月  日</w:t>
      </w: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09" w:name="_Toc148526848"/>
      <w:r>
        <w:rPr>
          <w:rFonts w:hint="eastAsia"/>
        </w:rPr>
        <w:t>（资料性）</w:t>
      </w:r>
      <w:r>
        <w:br w:type="textWrapping"/>
      </w:r>
      <w:r>
        <w:rPr>
          <w:rFonts w:hint="eastAsia"/>
        </w:rPr>
        <w:t>二次供水设施委托运营协议（范本）</w:t>
      </w:r>
      <w:bookmarkEnd w:id="109"/>
    </w:p>
    <w:p>
      <w:pPr>
        <w:pStyle w:val="56"/>
        <w:spacing w:line="360" w:lineRule="auto"/>
        <w:ind w:firstLine="420"/>
      </w:pPr>
      <w:r>
        <w:rPr>
          <w:rFonts w:hint="eastAsia"/>
        </w:rPr>
        <w:t>甲方（业委会）：</w:t>
      </w:r>
    </w:p>
    <w:p>
      <w:pPr>
        <w:pStyle w:val="56"/>
        <w:spacing w:line="360" w:lineRule="auto"/>
        <w:ind w:firstLine="420"/>
      </w:pPr>
      <w:r>
        <w:rPr>
          <w:rFonts w:hint="eastAsia"/>
        </w:rPr>
        <w:t>（物业管理机构）：</w:t>
      </w:r>
    </w:p>
    <w:p>
      <w:pPr>
        <w:pStyle w:val="56"/>
        <w:spacing w:line="360" w:lineRule="auto"/>
        <w:ind w:firstLine="420"/>
      </w:pPr>
      <w:r>
        <w:rPr>
          <w:rFonts w:hint="eastAsia"/>
        </w:rPr>
        <w:t>乙方（供水企业）：</w:t>
      </w:r>
    </w:p>
    <w:p>
      <w:pPr>
        <w:pStyle w:val="56"/>
        <w:spacing w:line="360" w:lineRule="auto"/>
        <w:ind w:firstLine="420"/>
      </w:pPr>
      <w:r>
        <w:rPr>
          <w:rFonts w:hint="eastAsia"/>
        </w:rPr>
        <w:t>丙方（建设单位）：</w:t>
      </w:r>
    </w:p>
    <w:p>
      <w:pPr>
        <w:pStyle w:val="56"/>
        <w:spacing w:line="360" w:lineRule="auto"/>
        <w:ind w:firstLine="420"/>
      </w:pPr>
      <w:r>
        <w:rPr>
          <w:rFonts w:hint="eastAsia"/>
        </w:rPr>
        <w:t>居民小区的生活二次供水设施经提标改造验收合格后，可移交供水企业统一维护管理。甲方将小区生活二次供水设施移交给乙方维护管理，甲、乙、丙三方就移交运营维护管理等事宜达成如下一致意见，签订本协议。</w:t>
      </w:r>
    </w:p>
    <w:p>
      <w:pPr>
        <w:pStyle w:val="56"/>
        <w:spacing w:line="360" w:lineRule="auto"/>
        <w:ind w:firstLine="422"/>
        <w:rPr>
          <w:b/>
          <w:bCs/>
        </w:rPr>
      </w:pPr>
      <w:r>
        <w:rPr>
          <w:rFonts w:hint="eastAsia"/>
          <w:b/>
          <w:bCs/>
        </w:rPr>
        <w:t>第一条 移交</w:t>
      </w:r>
    </w:p>
    <w:p>
      <w:pPr>
        <w:pStyle w:val="56"/>
        <w:spacing w:line="360" w:lineRule="auto"/>
        <w:ind w:firstLine="422"/>
      </w:pPr>
      <w:r>
        <w:rPr>
          <w:rFonts w:hint="eastAsia"/>
          <w:b/>
          <w:bCs/>
        </w:rPr>
        <w:t>1.1</w:t>
      </w:r>
      <w:r>
        <w:rPr>
          <w:rFonts w:hint="eastAsia"/>
        </w:rPr>
        <w:t xml:space="preserve"> 移交时间：甲、乙、丙三方应在提标改造工程验收合格三个月内完成移交。</w:t>
      </w:r>
    </w:p>
    <w:p>
      <w:pPr>
        <w:pStyle w:val="56"/>
        <w:spacing w:line="360" w:lineRule="auto"/>
        <w:ind w:firstLine="422"/>
      </w:pPr>
      <w:r>
        <w:rPr>
          <w:rFonts w:hint="eastAsia"/>
          <w:b/>
          <w:bCs/>
        </w:rPr>
        <w:t>1.2</w:t>
      </w:r>
      <w:r>
        <w:rPr>
          <w:rFonts w:hint="eastAsia"/>
        </w:rPr>
        <w:t xml:space="preserve"> 移交内容：本协议生效之日起，甲方将</w:t>
      </w:r>
      <w:r>
        <w:rPr>
          <w:rFonts w:hint="eastAsia"/>
          <w:u w:val="single"/>
        </w:rPr>
        <w:t xml:space="preserve">       </w:t>
      </w:r>
      <w:r>
        <w:rPr>
          <w:rFonts w:hint="eastAsia"/>
        </w:rPr>
        <w:t>小区管理范围区内的生活二次供水设施移交给乙方实施统一的维护管理，移交范围包括：生活泵房建筑物内墙及内部空间（单体泵房则包括生活泵房建筑物整体）、生活水池（箱）、泵房内生活供水管道及附属设施、生活水泵机电设备、生活泵房内供电线路、仪器仪表及网络设备等。生活与消防不能有效分离的二次供水设施不移交。</w:t>
      </w:r>
    </w:p>
    <w:p>
      <w:pPr>
        <w:pStyle w:val="56"/>
        <w:spacing w:line="360" w:lineRule="auto"/>
        <w:ind w:firstLine="422"/>
      </w:pPr>
      <w:r>
        <w:rPr>
          <w:rFonts w:hint="eastAsia"/>
          <w:b/>
          <w:bCs/>
        </w:rPr>
        <w:t>1.3</w:t>
      </w:r>
      <w:r>
        <w:rPr>
          <w:rFonts w:hint="eastAsia"/>
        </w:rPr>
        <w:t xml:space="preserve"> 甲方保证移交供水企业维护管理的生活二次供水设施不存在任何权益纠纷。否则，甲方将承但一切责任。</w:t>
      </w:r>
    </w:p>
    <w:p>
      <w:pPr>
        <w:pStyle w:val="56"/>
        <w:spacing w:line="360" w:lineRule="auto"/>
        <w:ind w:firstLine="422"/>
      </w:pPr>
      <w:r>
        <w:rPr>
          <w:rFonts w:hint="eastAsia"/>
          <w:b/>
          <w:bCs/>
        </w:rPr>
        <w:t>1.4</w:t>
      </w:r>
      <w:r>
        <w:rPr>
          <w:rFonts w:hint="eastAsia"/>
        </w:rPr>
        <w:t xml:space="preserve"> 消防泵房、消防设施设备、消防专用管网和附属设施、消防仪表及供电线路等不移交。整个消防系统、生活与消防不能有效分离的二次供水设施由甲方负责运行维护并保证其完好性，产生的相关费用由甲方承担。</w:t>
      </w:r>
    </w:p>
    <w:p>
      <w:pPr>
        <w:pStyle w:val="56"/>
        <w:spacing w:line="360" w:lineRule="auto"/>
        <w:ind w:firstLine="422"/>
      </w:pPr>
      <w:r>
        <w:rPr>
          <w:rFonts w:hint="eastAsia"/>
          <w:b/>
          <w:bCs/>
        </w:rPr>
        <w:t>1.5</w:t>
      </w:r>
      <w:r>
        <w:rPr>
          <w:rFonts w:hint="eastAsia"/>
        </w:rPr>
        <w:t xml:space="preserve"> 甲方不得以任何名义向乙方索要租金、物业管理费等。</w:t>
      </w:r>
    </w:p>
    <w:p>
      <w:pPr>
        <w:pStyle w:val="56"/>
        <w:spacing w:line="360" w:lineRule="auto"/>
        <w:ind w:firstLine="422"/>
      </w:pPr>
      <w:r>
        <w:rPr>
          <w:rFonts w:hint="eastAsia"/>
          <w:b/>
          <w:bCs/>
        </w:rPr>
        <w:t>1.6</w:t>
      </w:r>
      <w:r>
        <w:rPr>
          <w:rFonts w:hint="eastAsia"/>
        </w:rPr>
        <w:t xml:space="preserve"> 本协议生效后，除市政规划外,任何单位不得就生活二次供水设施提出搬迁、拆除要求。</w:t>
      </w:r>
    </w:p>
    <w:p>
      <w:pPr>
        <w:pStyle w:val="56"/>
        <w:spacing w:line="360" w:lineRule="auto"/>
        <w:ind w:firstLine="420"/>
      </w:pPr>
      <w:r>
        <w:rPr>
          <w:rFonts w:hint="eastAsia"/>
        </w:rPr>
        <w:t>第二条 提标改造验收合格后，质保期内，乙方仅负责生活二次供水设施日常的运营管理，因设施、设备质量问题导致故障由丙方负责处理；质保期结束后，乙方负责生活二次供水设施的维修维护及日常管理工作。质保期自生活二次供水设施提标改造验收合格并经乙方、丙方与建设单位签字盖章之日起算，为期两年。</w:t>
      </w:r>
    </w:p>
    <w:p>
      <w:pPr>
        <w:pStyle w:val="56"/>
        <w:spacing w:line="360" w:lineRule="auto"/>
        <w:ind w:firstLine="420"/>
      </w:pPr>
      <w:r>
        <w:rPr>
          <w:rFonts w:hint="eastAsia"/>
        </w:rPr>
        <w:t>39</w:t>
      </w:r>
    </w:p>
    <w:p>
      <w:pPr>
        <w:pStyle w:val="56"/>
        <w:spacing w:line="360" w:lineRule="auto"/>
        <w:ind w:firstLine="422"/>
      </w:pPr>
      <w:r>
        <w:rPr>
          <w:rFonts w:hint="eastAsia"/>
          <w:b/>
          <w:bCs/>
        </w:rPr>
        <w:t>第三条</w:t>
      </w:r>
      <w:r>
        <w:rPr>
          <w:rFonts w:hint="eastAsia"/>
        </w:rPr>
        <w:t xml:space="preserve"> 质保期内，丙方不能及时进行二次供水设施质量问题维修时，为保障居民生活供水，由乙方负责组织维修，所产生的费用由丙方承担，或由丙方在提标改造工程质保金中予以扣除。</w:t>
      </w:r>
    </w:p>
    <w:p>
      <w:pPr>
        <w:pStyle w:val="56"/>
        <w:spacing w:line="360" w:lineRule="auto"/>
        <w:ind w:firstLine="422"/>
      </w:pPr>
      <w:r>
        <w:rPr>
          <w:rFonts w:hint="eastAsia"/>
          <w:b/>
          <w:bCs/>
        </w:rPr>
        <w:t>第四条</w:t>
      </w:r>
      <w:r>
        <w:rPr>
          <w:rFonts w:hint="eastAsia"/>
        </w:rPr>
        <w:t xml:space="preserve"> 生活二次供水设施运行所产生的电费按原渠道从物业管理费中直接向供电部门支付。</w:t>
      </w:r>
    </w:p>
    <w:p>
      <w:pPr>
        <w:pStyle w:val="56"/>
        <w:spacing w:line="360" w:lineRule="auto"/>
        <w:ind w:firstLine="422"/>
      </w:pPr>
      <w:r>
        <w:rPr>
          <w:rFonts w:hint="eastAsia"/>
          <w:b/>
          <w:bCs/>
        </w:rPr>
        <w:t>第五条</w:t>
      </w:r>
      <w:r>
        <w:rPr>
          <w:rFonts w:hint="eastAsia"/>
        </w:rPr>
        <w:t xml:space="preserve"> 甲方应保证已依法取得向乙方移交生活二次供水设施的维护管理所需的授权，确保所在小区业主同意本协议各项条款。</w:t>
      </w:r>
    </w:p>
    <w:p>
      <w:pPr>
        <w:pStyle w:val="56"/>
        <w:spacing w:line="360" w:lineRule="auto"/>
        <w:ind w:firstLine="422"/>
        <w:rPr>
          <w:b/>
          <w:bCs/>
        </w:rPr>
      </w:pPr>
      <w:r>
        <w:rPr>
          <w:rFonts w:hint="eastAsia"/>
          <w:b/>
          <w:bCs/>
        </w:rPr>
        <w:t>第六条各方职责和权利</w:t>
      </w:r>
    </w:p>
    <w:p>
      <w:pPr>
        <w:pStyle w:val="56"/>
        <w:spacing w:line="360" w:lineRule="auto"/>
        <w:ind w:firstLine="422"/>
        <w:rPr>
          <w:b/>
          <w:bCs/>
        </w:rPr>
      </w:pPr>
      <w:r>
        <w:rPr>
          <w:rFonts w:hint="eastAsia"/>
          <w:b/>
          <w:bCs/>
        </w:rPr>
        <w:t>5.1 甲方职责</w:t>
      </w:r>
    </w:p>
    <w:p>
      <w:pPr>
        <w:pStyle w:val="56"/>
        <w:spacing w:line="360" w:lineRule="auto"/>
        <w:ind w:firstLine="420"/>
      </w:pPr>
      <w:r>
        <w:rPr>
          <w:rFonts w:hint="eastAsia"/>
        </w:rPr>
        <w:t>5.1.1 依法主动开展生活二次供水设施移交工作，并协助乙方与小区内用户签订用水扣费协议；</w:t>
      </w:r>
    </w:p>
    <w:p>
      <w:pPr>
        <w:pStyle w:val="56"/>
        <w:spacing w:line="360" w:lineRule="auto"/>
        <w:ind w:firstLine="420"/>
      </w:pPr>
      <w:r>
        <w:rPr>
          <w:rFonts w:hint="eastAsia"/>
        </w:rPr>
        <w:t>5.1.2 负责小区内消防系统的管理、维护，保证消防系统安全稳定运行并处于完好状态；</w:t>
      </w:r>
    </w:p>
    <w:p>
      <w:pPr>
        <w:pStyle w:val="56"/>
        <w:spacing w:line="360" w:lineRule="auto"/>
        <w:ind w:firstLine="420"/>
      </w:pPr>
      <w:r>
        <w:rPr>
          <w:rFonts w:hint="eastAsia"/>
        </w:rPr>
        <w:t>5.1.3 二次供水运行电费按原渠道从物业管理费中直接向供电部门支付；</w:t>
      </w:r>
    </w:p>
    <w:p>
      <w:pPr>
        <w:pStyle w:val="56"/>
        <w:spacing w:line="360" w:lineRule="auto"/>
        <w:ind w:firstLine="420"/>
      </w:pPr>
      <w:r>
        <w:rPr>
          <w:rFonts w:hint="eastAsia"/>
        </w:rPr>
        <w:t>5.1.4 将泵房及周边纳入小区物业正常的安全巡查范畴，确保泵房及水池周边无堆放杂物、垃圾</w:t>
      </w:r>
      <w:bookmarkStart w:id="112" w:name="_GoBack"/>
      <w:bookmarkEnd w:id="112"/>
      <w:r>
        <w:rPr>
          <w:rFonts w:hint="eastAsia"/>
        </w:rPr>
        <w:t>及排放污水等行为；确保泵房大门口出入畅通，无杂物堆放；发现二次供水异常应立即通知乙方；发现人为故意破坏等违法行为，应立即通知乙方并拨打110报警。</w:t>
      </w:r>
    </w:p>
    <w:p>
      <w:pPr>
        <w:pStyle w:val="56"/>
        <w:spacing w:line="360" w:lineRule="auto"/>
        <w:ind w:firstLine="420"/>
      </w:pPr>
      <w:r>
        <w:rPr>
          <w:rFonts w:hint="eastAsia"/>
        </w:rPr>
        <w:t>5.1.5 配合乙方做好二次供水设施的维护管理和事故抢修工作，配合丙方做好质保期内二次供水设施的维修工作，提供必要的支持。</w:t>
      </w:r>
    </w:p>
    <w:p>
      <w:pPr>
        <w:pStyle w:val="56"/>
        <w:spacing w:line="360" w:lineRule="auto"/>
        <w:ind w:firstLine="420"/>
      </w:pPr>
      <w:r>
        <w:rPr>
          <w:rFonts w:hint="eastAsia"/>
        </w:rPr>
        <w:t>5.1.6 不向乙方、丙方进入小区的巡查和维修车辆收取停车费。</w:t>
      </w:r>
    </w:p>
    <w:p>
      <w:pPr>
        <w:pStyle w:val="56"/>
        <w:spacing w:line="360" w:lineRule="auto"/>
        <w:ind w:firstLine="422"/>
        <w:rPr>
          <w:b/>
          <w:bCs/>
        </w:rPr>
      </w:pPr>
      <w:r>
        <w:rPr>
          <w:rFonts w:hint="eastAsia"/>
          <w:b/>
          <w:bCs/>
        </w:rPr>
        <w:t>5.2 甲方权利</w:t>
      </w:r>
    </w:p>
    <w:p>
      <w:pPr>
        <w:pStyle w:val="56"/>
        <w:spacing w:line="360" w:lineRule="auto"/>
        <w:ind w:firstLine="420"/>
      </w:pPr>
      <w:r>
        <w:rPr>
          <w:rFonts w:hint="eastAsia"/>
        </w:rPr>
        <w:t>5.2.1 使用安全优质自来水的权利；</w:t>
      </w:r>
    </w:p>
    <w:p>
      <w:pPr>
        <w:pStyle w:val="56"/>
        <w:spacing w:line="360" w:lineRule="auto"/>
        <w:ind w:firstLine="420"/>
      </w:pPr>
      <w:r>
        <w:rPr>
          <w:rFonts w:hint="eastAsia"/>
        </w:rPr>
        <w:t>5.2.2 监督乙方履行二次供水设施日常维护管理的权利；</w:t>
      </w:r>
    </w:p>
    <w:p>
      <w:pPr>
        <w:pStyle w:val="56"/>
        <w:spacing w:line="360" w:lineRule="auto"/>
        <w:ind w:firstLine="420"/>
      </w:pPr>
      <w:r>
        <w:rPr>
          <w:rFonts w:hint="eastAsia"/>
        </w:rPr>
        <w:t>5.2.3 检查二次供水设施安全稳定运行和完好性的权利。</w:t>
      </w:r>
    </w:p>
    <w:p>
      <w:pPr>
        <w:pStyle w:val="56"/>
        <w:spacing w:line="360" w:lineRule="auto"/>
        <w:ind w:firstLine="422"/>
        <w:rPr>
          <w:b/>
          <w:bCs/>
        </w:rPr>
      </w:pPr>
      <w:r>
        <w:rPr>
          <w:rFonts w:hint="eastAsia"/>
          <w:b/>
          <w:bCs/>
        </w:rPr>
        <w:t>5.3 乙方职责</w:t>
      </w:r>
    </w:p>
    <w:p>
      <w:pPr>
        <w:pStyle w:val="56"/>
        <w:spacing w:line="360" w:lineRule="auto"/>
        <w:ind w:firstLine="420"/>
      </w:pPr>
      <w:r>
        <w:rPr>
          <w:rFonts w:hint="eastAsia"/>
        </w:rPr>
        <w:t>5.3.1 负责生活二次供水设施巡检、维护、维修、更新，保障设施安全稳定运行和完好性；</w:t>
      </w:r>
    </w:p>
    <w:p>
      <w:pPr>
        <w:pStyle w:val="56"/>
        <w:spacing w:line="360" w:lineRule="auto"/>
        <w:ind w:firstLine="420"/>
      </w:pPr>
      <w:r>
        <w:rPr>
          <w:rFonts w:hint="eastAsia"/>
        </w:rPr>
        <w:t>5.3.2 保障小区供水水质和供水安全。</w:t>
      </w:r>
    </w:p>
    <w:p>
      <w:pPr>
        <w:pStyle w:val="56"/>
        <w:spacing w:line="360" w:lineRule="auto"/>
        <w:ind w:firstLine="420"/>
      </w:pPr>
      <w:r>
        <w:rPr>
          <w:rFonts w:hint="eastAsia"/>
        </w:rPr>
        <w:t>5.3.3 对生活二次供水设施实施计划停水维修应提前24小时通知甲方和用户，故障抢修停水应及时通知甲方和用户；</w:t>
      </w:r>
    </w:p>
    <w:p>
      <w:pPr>
        <w:pStyle w:val="56"/>
        <w:spacing w:line="360" w:lineRule="auto"/>
        <w:ind w:firstLine="420"/>
      </w:pPr>
      <w:r>
        <w:rPr>
          <w:rFonts w:hint="eastAsia"/>
        </w:rPr>
        <w:t>5.3.4 定期组织生活水池（箱）清洗消毒并取得水质检查合格报告；</w:t>
      </w:r>
    </w:p>
    <w:p>
      <w:pPr>
        <w:pStyle w:val="56"/>
        <w:spacing w:line="360" w:lineRule="auto"/>
        <w:ind w:firstLine="420"/>
      </w:pPr>
      <w:r>
        <w:rPr>
          <w:rFonts w:hint="eastAsia"/>
        </w:rPr>
        <w:t>5.3.5 承担生活二次供水设施的日常维修维护和更新改造等费用的支出(消防系统除外)；</w:t>
      </w:r>
    </w:p>
    <w:p>
      <w:pPr>
        <w:pStyle w:val="56"/>
        <w:spacing w:line="360" w:lineRule="auto"/>
        <w:ind w:firstLine="420"/>
      </w:pPr>
      <w:r>
        <w:rPr>
          <w:rFonts w:hint="eastAsia"/>
        </w:rPr>
        <w:t>5.3.6 质保期内，丙方或设备供应商未及时履行维修职责，为保障居民生活供水，乙方应先行组织维修并向丙方要求相关费用。</w:t>
      </w:r>
    </w:p>
    <w:p>
      <w:pPr>
        <w:pStyle w:val="56"/>
        <w:spacing w:line="360" w:lineRule="auto"/>
        <w:ind w:firstLine="420"/>
      </w:pPr>
      <w:r>
        <w:rPr>
          <w:rFonts w:hint="eastAsia"/>
        </w:rPr>
        <w:t>5.3.7 接到甲方的投诉或合理诉求后，于供水服务承诺的时间内予以处理并给予及时反馈；</w:t>
      </w:r>
    </w:p>
    <w:p>
      <w:pPr>
        <w:pStyle w:val="56"/>
        <w:spacing w:line="360" w:lineRule="auto"/>
        <w:ind w:firstLine="420"/>
      </w:pPr>
      <w:r>
        <w:rPr>
          <w:rFonts w:hint="eastAsia"/>
        </w:rPr>
        <w:t>5.3.8 通过不断改进技术措施和管理措施，提升供水保障能力和服务水平。</w:t>
      </w:r>
    </w:p>
    <w:p>
      <w:pPr>
        <w:pStyle w:val="56"/>
        <w:spacing w:line="360" w:lineRule="auto"/>
        <w:ind w:firstLine="422"/>
        <w:rPr>
          <w:b/>
          <w:bCs/>
        </w:rPr>
      </w:pPr>
      <w:r>
        <w:rPr>
          <w:rFonts w:hint="eastAsia"/>
          <w:b/>
          <w:bCs/>
        </w:rPr>
        <w:t>5.4 乙方权利</w:t>
      </w:r>
    </w:p>
    <w:p>
      <w:pPr>
        <w:pStyle w:val="56"/>
        <w:spacing w:line="360" w:lineRule="auto"/>
        <w:ind w:firstLine="420"/>
      </w:pPr>
      <w:r>
        <w:rPr>
          <w:rFonts w:hint="eastAsia"/>
        </w:rPr>
        <w:t>5.4.1 对接收移交的二次供水设施具有使用、维护、管理及更新重置的权利；</w:t>
      </w:r>
    </w:p>
    <w:p>
      <w:pPr>
        <w:pStyle w:val="56"/>
        <w:spacing w:line="360" w:lineRule="auto"/>
        <w:ind w:firstLine="420"/>
      </w:pPr>
      <w:r>
        <w:rPr>
          <w:rFonts w:hint="eastAsia"/>
        </w:rPr>
        <w:t>5.4.2 日常维护管理和抢修抢险过程中，取得甲方配合的权利。</w:t>
      </w:r>
    </w:p>
    <w:p>
      <w:pPr>
        <w:pStyle w:val="56"/>
        <w:spacing w:line="360" w:lineRule="auto"/>
        <w:ind w:firstLine="420"/>
      </w:pPr>
      <w:r>
        <w:rPr>
          <w:rFonts w:hint="eastAsia"/>
        </w:rPr>
        <w:t>5.4.3 乙方按5.3.6规定先行组织维修，丙方拒不支付相关费用的，乙方可要求建设单位在提标改造工程质保金中予以扣除。</w:t>
      </w:r>
    </w:p>
    <w:p>
      <w:pPr>
        <w:pStyle w:val="56"/>
        <w:spacing w:line="360" w:lineRule="auto"/>
        <w:ind w:firstLine="422"/>
        <w:rPr>
          <w:b/>
          <w:bCs/>
        </w:rPr>
      </w:pPr>
      <w:r>
        <w:rPr>
          <w:rFonts w:hint="eastAsia"/>
          <w:b/>
          <w:bCs/>
        </w:rPr>
        <w:t>5.5 丙方职责</w:t>
      </w:r>
    </w:p>
    <w:p>
      <w:pPr>
        <w:pStyle w:val="56"/>
        <w:spacing w:line="360" w:lineRule="auto"/>
        <w:ind w:firstLine="420"/>
      </w:pPr>
      <w:r>
        <w:rPr>
          <w:rFonts w:hint="eastAsia"/>
        </w:rPr>
        <w:t>5.5.1 按照建设单位组织的现场验收和竣工验收意见限期整改，确保生活二次供水设施符合相关标准和规程要求，具备移交条件；</w:t>
      </w:r>
    </w:p>
    <w:p>
      <w:pPr>
        <w:pStyle w:val="56"/>
        <w:spacing w:line="360" w:lineRule="auto"/>
        <w:ind w:firstLine="420"/>
      </w:pPr>
      <w:r>
        <w:rPr>
          <w:rFonts w:hint="eastAsia"/>
        </w:rPr>
        <w:t>5.5.2 将提标改造工程有关的设计、施工、验收文件以及电子版文件完整归档，移交乙方保管；</w:t>
      </w:r>
    </w:p>
    <w:p>
      <w:pPr>
        <w:pStyle w:val="56"/>
        <w:spacing w:line="360" w:lineRule="auto"/>
        <w:ind w:firstLine="420"/>
      </w:pPr>
      <w:r>
        <w:rPr>
          <w:rFonts w:hint="eastAsia"/>
        </w:rPr>
        <w:t>5.5.3 积极协助甲、乙双方完成移交；</w:t>
      </w:r>
    </w:p>
    <w:p>
      <w:pPr>
        <w:pStyle w:val="56"/>
        <w:spacing w:line="360" w:lineRule="auto"/>
        <w:ind w:firstLine="420"/>
      </w:pPr>
      <w:r>
        <w:rPr>
          <w:rFonts w:hint="eastAsia"/>
        </w:rPr>
        <w:t>5.5.4 质保期内，负责或要求设备供应商对二次供水设施质量问题及时进行维修整改，承担维修费用。</w:t>
      </w:r>
    </w:p>
    <w:p>
      <w:pPr>
        <w:pStyle w:val="56"/>
        <w:spacing w:line="360" w:lineRule="auto"/>
        <w:ind w:firstLine="422"/>
        <w:rPr>
          <w:b/>
          <w:bCs/>
        </w:rPr>
      </w:pPr>
      <w:r>
        <w:rPr>
          <w:rFonts w:hint="eastAsia"/>
          <w:b/>
          <w:bCs/>
        </w:rPr>
        <w:t>5.6 丙方权利</w:t>
      </w:r>
    </w:p>
    <w:p>
      <w:pPr>
        <w:pStyle w:val="56"/>
        <w:spacing w:line="360" w:lineRule="auto"/>
        <w:ind w:firstLine="420"/>
      </w:pPr>
      <w:r>
        <w:rPr>
          <w:rFonts w:hint="eastAsia"/>
        </w:rPr>
        <w:t>5.6.1 质保期结束后，依法取得剩余的工程质保金。</w:t>
      </w:r>
    </w:p>
    <w:p>
      <w:pPr>
        <w:pStyle w:val="56"/>
        <w:spacing w:line="360" w:lineRule="auto"/>
        <w:ind w:firstLine="422"/>
      </w:pPr>
      <w:r>
        <w:rPr>
          <w:rFonts w:hint="eastAsia"/>
          <w:b/>
          <w:bCs/>
        </w:rPr>
        <w:t>第六条</w:t>
      </w:r>
      <w:r>
        <w:rPr>
          <w:rFonts w:hint="eastAsia"/>
        </w:rPr>
        <w:t>政府水务主管部门和建设主管部门负责协调移交过程中政策问题，检查移交工作进展，督促甲、乙、丙三方依法进行移交。</w:t>
      </w:r>
    </w:p>
    <w:p>
      <w:pPr>
        <w:pStyle w:val="56"/>
        <w:spacing w:line="360" w:lineRule="auto"/>
        <w:ind w:firstLine="422"/>
      </w:pPr>
      <w:r>
        <w:rPr>
          <w:rFonts w:hint="eastAsia"/>
          <w:b/>
          <w:bCs/>
        </w:rPr>
        <w:t>第七条</w:t>
      </w:r>
      <w:r>
        <w:rPr>
          <w:rFonts w:hint="eastAsia"/>
        </w:rPr>
        <w:t xml:space="preserve"> 关于二次供水设施移交之前的一切债务纠纷由甲方承担。</w:t>
      </w:r>
    </w:p>
    <w:p>
      <w:pPr>
        <w:pStyle w:val="56"/>
        <w:spacing w:line="360" w:lineRule="auto"/>
        <w:ind w:firstLine="422"/>
      </w:pPr>
      <w:r>
        <w:rPr>
          <w:rFonts w:hint="eastAsia"/>
          <w:b/>
          <w:bCs/>
        </w:rPr>
        <w:t>第八条</w:t>
      </w:r>
      <w:r>
        <w:rPr>
          <w:rFonts w:hint="eastAsia"/>
        </w:rPr>
        <w:t xml:space="preserve"> 因本协议引起的一切纠纷，三方应协商解决，协商不成时，应将纠纷提交甲方所在</w:t>
      </w:r>
    </w:p>
    <w:p>
      <w:pPr>
        <w:pStyle w:val="56"/>
        <w:spacing w:line="360" w:lineRule="auto"/>
        <w:ind w:firstLine="420"/>
      </w:pPr>
      <w:r>
        <w:rPr>
          <w:rFonts w:hint="eastAsia"/>
        </w:rPr>
        <w:t>地人民法院。</w:t>
      </w:r>
    </w:p>
    <w:p>
      <w:pPr>
        <w:pStyle w:val="56"/>
        <w:spacing w:line="360" w:lineRule="auto"/>
        <w:ind w:firstLine="422"/>
      </w:pPr>
      <w:r>
        <w:rPr>
          <w:rFonts w:hint="eastAsia"/>
          <w:b/>
          <w:bCs/>
        </w:rPr>
        <w:t>第九条</w:t>
      </w:r>
      <w:r>
        <w:rPr>
          <w:rFonts w:hint="eastAsia"/>
        </w:rPr>
        <w:t xml:space="preserve"> 本协议一式六份，甲、乙、丙三方各两份，每份都具同等法律效力。</w:t>
      </w:r>
    </w:p>
    <w:p>
      <w:pPr>
        <w:pStyle w:val="56"/>
        <w:spacing w:line="360" w:lineRule="auto"/>
        <w:ind w:firstLine="422"/>
      </w:pPr>
      <w:r>
        <w:rPr>
          <w:rFonts w:hint="eastAsia"/>
          <w:b/>
          <w:bCs/>
        </w:rPr>
        <w:t xml:space="preserve">第十条 </w:t>
      </w:r>
      <w:r>
        <w:rPr>
          <w:rFonts w:hint="eastAsia"/>
        </w:rPr>
        <w:t>本协议自甲、乙、丙三方签字盖章之日起生效。</w:t>
      </w:r>
    </w:p>
    <w:p>
      <w:pPr>
        <w:pStyle w:val="56"/>
        <w:spacing w:line="360" w:lineRule="auto"/>
        <w:ind w:firstLine="420"/>
      </w:pPr>
    </w:p>
    <w:p>
      <w:pPr>
        <w:pStyle w:val="56"/>
        <w:spacing w:line="360" w:lineRule="auto"/>
        <w:ind w:firstLine="420"/>
      </w:pPr>
      <w:r>
        <w:rPr>
          <w:rFonts w:hint="eastAsia"/>
        </w:rPr>
        <w:t>甲方：(盖章)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spacing w:line="360" w:lineRule="auto"/>
        <w:ind w:firstLine="420"/>
      </w:pPr>
    </w:p>
    <w:p>
      <w:pPr>
        <w:pStyle w:val="56"/>
        <w:spacing w:line="360" w:lineRule="auto"/>
        <w:ind w:firstLine="420"/>
      </w:pPr>
      <w:r>
        <w:rPr>
          <w:rFonts w:hint="eastAsia"/>
        </w:rPr>
        <w:t>乙方：(盖章)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spacing w:line="360" w:lineRule="auto"/>
        <w:ind w:firstLine="420"/>
      </w:pPr>
    </w:p>
    <w:p>
      <w:pPr>
        <w:pStyle w:val="56"/>
        <w:spacing w:line="360" w:lineRule="auto"/>
        <w:ind w:firstLine="420"/>
      </w:pPr>
      <w:r>
        <w:rPr>
          <w:rFonts w:hint="eastAsia"/>
        </w:rPr>
        <w:t>丙方：(盖章)</w:t>
      </w:r>
    </w:p>
    <w:p>
      <w:pPr>
        <w:pStyle w:val="56"/>
        <w:spacing w:line="360" w:lineRule="auto"/>
        <w:ind w:firstLine="420"/>
      </w:pPr>
      <w:r>
        <w:rPr>
          <w:rFonts w:hint="eastAsia"/>
        </w:rPr>
        <w:t>经办人：</w:t>
      </w:r>
    </w:p>
    <w:p>
      <w:pPr>
        <w:pStyle w:val="56"/>
        <w:spacing w:line="360" w:lineRule="auto"/>
        <w:ind w:firstLine="420"/>
      </w:pPr>
      <w:r>
        <w:rPr>
          <w:rFonts w:hint="eastAsia"/>
        </w:rPr>
        <w:t>代表：</w:t>
      </w:r>
    </w:p>
    <w:p>
      <w:pPr>
        <w:pStyle w:val="56"/>
        <w:spacing w:line="360" w:lineRule="auto"/>
        <w:ind w:firstLine="420"/>
      </w:pPr>
      <w:r>
        <w:rPr>
          <w:rFonts w:hint="eastAsia"/>
        </w:rPr>
        <w:t>日期</w:t>
      </w: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after="156"/>
      </w:pPr>
      <w:r>
        <w:br w:type="textWrapping"/>
      </w:r>
      <w:bookmarkStart w:id="110" w:name="_Toc148526849"/>
      <w:r>
        <w:rPr>
          <w:rFonts w:hint="eastAsia"/>
        </w:rPr>
        <w:t>（资料性）</w:t>
      </w:r>
      <w:r>
        <w:br w:type="textWrapping"/>
      </w:r>
      <w:r>
        <w:rPr>
          <w:rFonts w:hint="eastAsia"/>
        </w:rPr>
        <w:t>技术档案送审表</w:t>
      </w:r>
      <w:bookmarkEnd w:id="110"/>
    </w:p>
    <w:p>
      <w:pPr>
        <w:pStyle w:val="77"/>
        <w:numPr>
          <w:ilvl w:val="0"/>
          <w:numId w:val="0"/>
        </w:numPr>
        <w:spacing w:before="156" w:after="156"/>
      </w:pPr>
      <w:r>
        <w:rPr>
          <w:rFonts w:hint="eastAsia"/>
        </w:rPr>
        <w:t>表</w:t>
      </w:r>
      <w:r>
        <w:t xml:space="preserve">H.1 </w:t>
      </w:r>
      <w:r>
        <w:rPr>
          <w:rFonts w:hint="eastAsia"/>
        </w:rPr>
        <w:t>技术档案送审表</w:t>
      </w:r>
    </w:p>
    <w:tbl>
      <w:tblPr>
        <w:tblStyle w:val="244"/>
        <w:tblpPr w:leftFromText="180" w:rightFromText="180" w:vertAnchor="text" w:horzAnchor="page" w:tblpX="1285" w:tblpY="73"/>
        <w:tblOverlap w:val="never"/>
        <w:tblW w:w="93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5"/>
        <w:gridCol w:w="66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705" w:type="dxa"/>
          </w:tcPr>
          <w:p>
            <w:pPr>
              <w:pStyle w:val="243"/>
              <w:spacing w:before="148" w:line="220" w:lineRule="auto"/>
              <w:ind w:left="1000"/>
            </w:pPr>
            <w:r>
              <w:rPr>
                <w:spacing w:val="-3"/>
              </w:rPr>
              <w:t>项目名称</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05" w:type="dxa"/>
          </w:tcPr>
          <w:p>
            <w:pPr>
              <w:pStyle w:val="243"/>
              <w:spacing w:before="144" w:line="212" w:lineRule="auto"/>
              <w:ind w:left="758"/>
              <w:rPr>
                <w:rFonts w:ascii="Times New Roman" w:hAnsi="Times New Roman" w:eastAsia="Times New Roman" w:cs="Times New Roman"/>
              </w:rPr>
            </w:pPr>
            <w:r>
              <w:rPr>
                <w:spacing w:val="-1"/>
              </w:rPr>
              <w:t>送审单位</w:t>
            </w:r>
            <w:r>
              <w:rPr>
                <w:rFonts w:ascii="Times New Roman" w:hAnsi="Times New Roman" w:eastAsia="Times New Roman" w:cs="Times New Roman"/>
                <w:spacing w:val="-1"/>
              </w:rPr>
              <w:t>(</w:t>
            </w:r>
            <w:r>
              <w:rPr>
                <w:spacing w:val="-1"/>
              </w:rPr>
              <w:t>部门</w:t>
            </w:r>
            <w:r>
              <w:rPr>
                <w:rFonts w:ascii="Times New Roman" w:hAnsi="Times New Roman" w:eastAsia="Times New Roman" w:cs="Times New Roman"/>
                <w:spacing w:val="-1"/>
              </w:rPr>
              <w:t>)</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705" w:type="dxa"/>
          </w:tcPr>
          <w:p>
            <w:pPr>
              <w:pStyle w:val="243"/>
              <w:spacing w:before="146" w:line="468" w:lineRule="exact"/>
              <w:ind w:left="915"/>
              <w:rPr>
                <w:lang w:eastAsia="zh-CN"/>
              </w:rPr>
            </w:pPr>
            <w:r>
              <w:rPr>
                <w:spacing w:val="-3"/>
                <w:position w:val="22"/>
                <w:lang w:eastAsia="zh-CN"/>
              </w:rPr>
              <w:t>归档责任人</w:t>
            </w:r>
          </w:p>
          <w:p>
            <w:pPr>
              <w:pStyle w:val="243"/>
              <w:spacing w:line="221" w:lineRule="auto"/>
              <w:ind w:left="907"/>
              <w:rPr>
                <w:lang w:eastAsia="zh-CN"/>
              </w:rPr>
            </w:pPr>
            <w:r>
              <w:rPr>
                <w:spacing w:val="-2"/>
                <w:lang w:eastAsia="zh-CN"/>
              </w:rPr>
              <w:t>及联系电话</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05" w:type="dxa"/>
          </w:tcPr>
          <w:p>
            <w:pPr>
              <w:pStyle w:val="243"/>
              <w:spacing w:before="146" w:line="220" w:lineRule="auto"/>
              <w:ind w:left="995"/>
            </w:pPr>
            <w:r>
              <w:rPr>
                <w:spacing w:val="-2"/>
              </w:rPr>
              <w:t>送审时间</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1" w:hRule="atLeast"/>
        </w:trPr>
        <w:tc>
          <w:tcPr>
            <w:tcW w:w="2705" w:type="dxa"/>
          </w:tcPr>
          <w:p>
            <w:pPr>
              <w:spacing w:line="249"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spacing w:line="250" w:lineRule="auto"/>
              <w:rPr>
                <w:rFonts w:ascii="Arial"/>
              </w:rPr>
            </w:pPr>
          </w:p>
          <w:p>
            <w:pPr>
              <w:pStyle w:val="243"/>
              <w:spacing w:before="58" w:line="219" w:lineRule="auto"/>
              <w:ind w:left="815"/>
            </w:pPr>
            <w:r>
              <w:rPr>
                <w:spacing w:val="-1"/>
              </w:rPr>
              <w:t>送审档案情况</w:t>
            </w:r>
          </w:p>
        </w:tc>
        <w:tc>
          <w:tcPr>
            <w:tcW w:w="6621" w:type="dxa"/>
          </w:tcPr>
          <w:p>
            <w:pPr>
              <w:spacing w:line="276" w:lineRule="auto"/>
              <w:rPr>
                <w:rFonts w:ascii="Arial"/>
              </w:rPr>
            </w:pPr>
          </w:p>
          <w:p>
            <w:pPr>
              <w:spacing w:line="276" w:lineRule="auto"/>
              <w:rPr>
                <w:rFonts w:ascii="Arial"/>
              </w:rPr>
            </w:pPr>
          </w:p>
          <w:p>
            <w:pPr>
              <w:pStyle w:val="243"/>
              <w:spacing w:before="58" w:line="219" w:lineRule="auto"/>
              <w:ind w:left="116"/>
              <w:rPr>
                <w:lang w:eastAsia="zh-CN"/>
              </w:rPr>
            </w:pPr>
            <w:r>
              <w:rPr>
                <w:spacing w:val="-1"/>
                <w:lang w:eastAsia="zh-CN"/>
              </w:rPr>
              <w:t>总卷数卷；其中：文字材料卷，</w:t>
            </w:r>
          </w:p>
          <w:p>
            <w:pPr>
              <w:spacing w:line="330" w:lineRule="auto"/>
              <w:rPr>
                <w:rFonts w:ascii="Arial"/>
              </w:rPr>
            </w:pPr>
          </w:p>
          <w:p>
            <w:pPr>
              <w:spacing w:line="330" w:lineRule="auto"/>
              <w:rPr>
                <w:rFonts w:ascii="Arial"/>
              </w:rPr>
            </w:pPr>
          </w:p>
          <w:p>
            <w:pPr>
              <w:pStyle w:val="243"/>
              <w:spacing w:before="58" w:line="212" w:lineRule="auto"/>
              <w:ind w:left="112"/>
              <w:rPr>
                <w:lang w:eastAsia="zh-CN"/>
              </w:rPr>
            </w:pPr>
            <w:r>
              <w:rPr>
                <w:spacing w:val="-2"/>
                <w:lang w:eastAsia="zh-CN"/>
              </w:rPr>
              <w:t>竣工图卷</w:t>
            </w:r>
            <w:r>
              <w:rPr>
                <w:rFonts w:ascii="Times New Roman" w:hAnsi="Times New Roman" w:eastAsia="Times New Roman" w:cs="Times New Roman"/>
                <w:spacing w:val="-2"/>
                <w:lang w:eastAsia="zh-CN"/>
              </w:rPr>
              <w:t>(</w:t>
            </w:r>
            <w:r>
              <w:rPr>
                <w:spacing w:val="-2"/>
                <w:lang w:eastAsia="zh-CN"/>
              </w:rPr>
              <w:t>张</w:t>
            </w:r>
            <w:r>
              <w:rPr>
                <w:rFonts w:ascii="Times New Roman" w:hAnsi="Times New Roman" w:eastAsia="Times New Roman" w:cs="Times New Roman"/>
                <w:spacing w:val="-2"/>
                <w:lang w:eastAsia="zh-CN"/>
              </w:rPr>
              <w:t>)</w:t>
            </w:r>
            <w:r>
              <w:rPr>
                <w:rFonts w:ascii="Times New Roman" w:hAnsi="Times New Roman" w:eastAsia="Times New Roman" w:cs="Times New Roman"/>
                <w:spacing w:val="-24"/>
                <w:lang w:eastAsia="zh-CN"/>
              </w:rPr>
              <w:t xml:space="preserve"> </w:t>
            </w:r>
            <w:r>
              <w:rPr>
                <w:spacing w:val="-2"/>
                <w:lang w:eastAsia="zh-CN"/>
              </w:rPr>
              <w:t>，光</w:t>
            </w:r>
            <w:r>
              <w:rPr>
                <w:rFonts w:ascii="Times New Roman" w:hAnsi="Times New Roman" w:eastAsia="Times New Roman" w:cs="Times New Roman"/>
                <w:spacing w:val="-2"/>
                <w:lang w:eastAsia="zh-CN"/>
              </w:rPr>
              <w:t>(</w:t>
            </w:r>
            <w:r>
              <w:rPr>
                <w:spacing w:val="-2"/>
                <w:lang w:eastAsia="zh-CN"/>
              </w:rPr>
              <w:t>磁</w:t>
            </w:r>
            <w:r>
              <w:rPr>
                <w:rFonts w:ascii="Times New Roman" w:hAnsi="Times New Roman" w:eastAsia="Times New Roman" w:cs="Times New Roman"/>
                <w:spacing w:val="-2"/>
                <w:lang w:eastAsia="zh-CN"/>
              </w:rPr>
              <w:t>)</w:t>
            </w:r>
            <w:r>
              <w:rPr>
                <w:spacing w:val="-2"/>
                <w:lang w:eastAsia="zh-CN"/>
              </w:rPr>
              <w:t>盘张，</w:t>
            </w:r>
          </w:p>
          <w:p>
            <w:pPr>
              <w:spacing w:line="333" w:lineRule="auto"/>
              <w:rPr>
                <w:rFonts w:ascii="Arial"/>
              </w:rPr>
            </w:pPr>
          </w:p>
          <w:p>
            <w:pPr>
              <w:spacing w:line="333" w:lineRule="auto"/>
              <w:rPr>
                <w:rFonts w:ascii="Arial"/>
              </w:rPr>
            </w:pPr>
          </w:p>
          <w:p>
            <w:pPr>
              <w:pStyle w:val="243"/>
              <w:spacing w:before="59" w:line="220" w:lineRule="auto"/>
              <w:ind w:left="117"/>
            </w:pPr>
            <w:r>
              <w:rPr>
                <w:spacing w:val="-4"/>
              </w:rPr>
              <w:t>照片张。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705" w:type="dxa"/>
          </w:tcPr>
          <w:p>
            <w:pPr>
              <w:spacing w:line="277" w:lineRule="auto"/>
              <w:rPr>
                <w:rFonts w:ascii="Arial"/>
              </w:rPr>
            </w:pPr>
          </w:p>
          <w:p>
            <w:pPr>
              <w:spacing w:line="277" w:lineRule="auto"/>
              <w:rPr>
                <w:rFonts w:ascii="Arial"/>
              </w:rPr>
            </w:pPr>
          </w:p>
          <w:p>
            <w:pPr>
              <w:pStyle w:val="243"/>
              <w:spacing w:before="58" w:line="468" w:lineRule="exact"/>
              <w:ind w:left="758"/>
              <w:rPr>
                <w:rFonts w:ascii="Times New Roman" w:hAnsi="Times New Roman" w:eastAsia="Times New Roman" w:cs="Times New Roman"/>
              </w:rPr>
            </w:pPr>
            <w:r>
              <w:rPr>
                <w:spacing w:val="-1"/>
                <w:position w:val="22"/>
              </w:rPr>
              <w:t>送审单位</w:t>
            </w:r>
            <w:r>
              <w:rPr>
                <w:rFonts w:ascii="Times New Roman" w:hAnsi="Times New Roman" w:eastAsia="Times New Roman" w:cs="Times New Roman"/>
                <w:spacing w:val="-1"/>
                <w:position w:val="22"/>
              </w:rPr>
              <w:t>(</w:t>
            </w:r>
            <w:r>
              <w:rPr>
                <w:spacing w:val="-1"/>
                <w:position w:val="22"/>
              </w:rPr>
              <w:t>部门</w:t>
            </w:r>
            <w:r>
              <w:rPr>
                <w:rFonts w:ascii="Times New Roman" w:hAnsi="Times New Roman" w:eastAsia="Times New Roman" w:cs="Times New Roman"/>
                <w:spacing w:val="-1"/>
                <w:position w:val="22"/>
              </w:rPr>
              <w:t>)</w:t>
            </w:r>
          </w:p>
          <w:p>
            <w:pPr>
              <w:pStyle w:val="243"/>
              <w:spacing w:line="219" w:lineRule="auto"/>
              <w:ind w:left="1182"/>
            </w:pPr>
            <w:r>
              <w:rPr>
                <w:spacing w:val="-6"/>
              </w:rPr>
              <w:t>意见</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705" w:type="dxa"/>
          </w:tcPr>
          <w:p>
            <w:pPr>
              <w:pStyle w:val="243"/>
              <w:spacing w:before="148" w:line="219" w:lineRule="auto"/>
              <w:ind w:left="729"/>
            </w:pPr>
            <w:r>
              <w:rPr>
                <w:spacing w:val="-2"/>
              </w:rPr>
              <w:t>技术档案室意见</w:t>
            </w:r>
          </w:p>
        </w:tc>
        <w:tc>
          <w:tcPr>
            <w:tcW w:w="6621" w:type="dxa"/>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326" w:type="dxa"/>
            <w:gridSpan w:val="2"/>
          </w:tcPr>
          <w:p>
            <w:pPr>
              <w:pStyle w:val="243"/>
              <w:spacing w:before="148" w:line="219" w:lineRule="auto"/>
              <w:ind w:left="116"/>
              <w:rPr>
                <w:lang w:eastAsia="zh-CN"/>
              </w:rPr>
            </w:pPr>
            <w:r>
              <w:rPr>
                <w:spacing w:val="-1"/>
                <w:lang w:eastAsia="zh-CN"/>
              </w:rPr>
              <w:t>备注：送审部门应对送审档案的完整性及竣工图的准确性负责。</w:t>
            </w: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928"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198"/>
        <w:rPr>
          <w:vanish w:val="0"/>
        </w:rPr>
      </w:pPr>
    </w:p>
    <w:p>
      <w:pPr>
        <w:pStyle w:val="199"/>
        <w:rPr>
          <w:vanish w:val="0"/>
        </w:rPr>
      </w:pPr>
    </w:p>
    <w:p>
      <w:pPr>
        <w:pStyle w:val="76"/>
        <w:spacing w:after="156"/>
      </w:pPr>
      <w:r>
        <w:br w:type="textWrapping"/>
      </w:r>
      <w:bookmarkStart w:id="111" w:name="_Toc148526850"/>
      <w:r>
        <w:rPr>
          <w:rFonts w:hint="eastAsia"/>
        </w:rPr>
        <w:t>（资料性）</w:t>
      </w:r>
      <w:r>
        <w:br w:type="textWrapping"/>
      </w:r>
      <w:r>
        <w:rPr>
          <w:rFonts w:hint="eastAsia"/>
        </w:rPr>
        <w:t>技术档案移交书</w:t>
      </w:r>
      <w:bookmarkEnd w:id="111"/>
    </w:p>
    <w:p>
      <w:pPr>
        <w:pStyle w:val="56"/>
        <w:ind w:firstLine="420"/>
      </w:pPr>
    </w:p>
    <w:p>
      <w:pPr>
        <w:pStyle w:val="56"/>
        <w:ind w:firstLine="420"/>
      </w:pPr>
      <w:r>
        <w:rPr>
          <w:rFonts w:hint="eastAsia"/>
        </w:rPr>
        <w:t>项目名称：</w:t>
      </w:r>
    </w:p>
    <w:p>
      <w:pPr>
        <w:pStyle w:val="56"/>
        <w:ind w:firstLine="420"/>
      </w:pPr>
    </w:p>
    <w:p>
      <w:pPr>
        <w:pStyle w:val="56"/>
        <w:ind w:firstLine="420"/>
      </w:pPr>
    </w:p>
    <w:p>
      <w:pPr>
        <w:pStyle w:val="56"/>
        <w:ind w:firstLine="420"/>
      </w:pPr>
      <w:r>
        <w:rPr>
          <w:rFonts w:hint="eastAsia"/>
        </w:rPr>
        <w:t>兹向移交技术档案共计卷，其中文字材料卷，计张；竣工图纸卷，计张；相片张；光(磁)盘张。</w:t>
      </w:r>
    </w:p>
    <w:p>
      <w:pPr>
        <w:pStyle w:val="56"/>
        <w:ind w:firstLine="420"/>
      </w:pPr>
    </w:p>
    <w:p>
      <w:pPr>
        <w:pStyle w:val="56"/>
        <w:ind w:firstLine="420"/>
      </w:pPr>
    </w:p>
    <w:p>
      <w:pPr>
        <w:pStyle w:val="56"/>
        <w:ind w:firstLine="420"/>
      </w:pPr>
    </w:p>
    <w:p>
      <w:pPr>
        <w:pStyle w:val="56"/>
        <w:ind w:firstLine="420"/>
      </w:pPr>
    </w:p>
    <w:p>
      <w:pPr>
        <w:pStyle w:val="56"/>
        <w:ind w:firstLine="420"/>
      </w:pPr>
      <w:r>
        <w:rPr>
          <w:rFonts w:hint="eastAsia"/>
        </w:rPr>
        <w:t xml:space="preserve">移交单位(盖章)：           </w:t>
      </w:r>
      <w:r>
        <w:t xml:space="preserve">    </w:t>
      </w:r>
      <w:r>
        <w:rPr>
          <w:rFonts w:hint="eastAsia"/>
        </w:rPr>
        <w:t xml:space="preserve">  接收单位(盖章)：</w:t>
      </w:r>
    </w:p>
    <w:p>
      <w:pPr>
        <w:pStyle w:val="56"/>
        <w:ind w:firstLine="420"/>
      </w:pPr>
      <w:r>
        <w:rPr>
          <w:rFonts w:hint="eastAsia"/>
        </w:rPr>
        <w:t xml:space="preserve">移交人(签名)：              </w:t>
      </w:r>
      <w:r>
        <w:t xml:space="preserve">    </w:t>
      </w:r>
      <w:r>
        <w:rPr>
          <w:rFonts w:hint="eastAsia"/>
        </w:rPr>
        <w:t xml:space="preserve"> 接收人(签名)：</w:t>
      </w:r>
    </w:p>
    <w:p>
      <w:pPr>
        <w:pStyle w:val="56"/>
        <w:ind w:firstLine="420"/>
      </w:pPr>
      <w:r>
        <w:rPr>
          <w:rFonts w:hint="eastAsia"/>
        </w:rPr>
        <w:t xml:space="preserve">移交日期：                  </w:t>
      </w:r>
      <w:r>
        <w:t xml:space="preserve">    </w:t>
      </w:r>
      <w:r>
        <w:rPr>
          <w:rFonts w:hint="eastAsia"/>
        </w:rPr>
        <w:t xml:space="preserve"> 接收日期：</w:t>
      </w:r>
    </w:p>
    <w:bookmarkEnd w:id="99"/>
    <w:p>
      <w:pPr>
        <w:pStyle w:val="199"/>
        <w:rPr>
          <w:vanish w:val="0"/>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4408/T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4408/T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2"/>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6"/>
      <w:suff w:val="nothing"/>
      <w:lvlText w:val="%1.%2.%3.%4　"/>
      <w:lvlJc w:val="left"/>
      <w:pPr>
        <w:ind w:left="0" w:firstLine="0"/>
      </w:pPr>
      <w:rPr>
        <w:rFonts w:hint="eastAsia" w:ascii="黑体" w:hAnsi="Times New Roman" w:eastAsia="黑体"/>
        <w:b w:val="0"/>
        <w:i w:val="0"/>
        <w:sz w:val="21"/>
      </w:rPr>
    </w:lvl>
    <w:lvl w:ilvl="4" w:tentative="0">
      <w:start w:val="1"/>
      <w:numFmt w:val="decimal"/>
      <w:pStyle w:val="235"/>
      <w:suff w:val="nothing"/>
      <w:lvlText w:val="%1.%2.%3.%4.%5　"/>
      <w:lvlJc w:val="left"/>
      <w:pPr>
        <w:ind w:left="0" w:firstLine="0"/>
      </w:pPr>
      <w:rPr>
        <w:rFonts w:hint="eastAsia" w:ascii="黑体" w:hAnsi="Times New Roman" w:eastAsia="黑体"/>
        <w:b w:val="0"/>
        <w:i w:val="0"/>
        <w:sz w:val="21"/>
      </w:rPr>
    </w:lvl>
    <w:lvl w:ilvl="5" w:tentative="0">
      <w:start w:val="1"/>
      <w:numFmt w:val="decimal"/>
      <w:pStyle w:val="24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10065"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6522"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844"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75496E"/>
    <w:multiLevelType w:val="multilevel"/>
    <w:tmpl w:val="7675496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1"/>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drawingGridHorizontalSpacing w:val="105"/>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kyY2MyNDEzMGI1MDQ0NzYxNWNhMzhmMGRkYzQyMzcifQ=="/>
  </w:docVars>
  <w:rsids>
    <w:rsidRoot w:val="00C742F1"/>
    <w:rsid w:val="0000040A"/>
    <w:rsid w:val="00000A94"/>
    <w:rsid w:val="0000118B"/>
    <w:rsid w:val="00001972"/>
    <w:rsid w:val="00001D9A"/>
    <w:rsid w:val="000031EE"/>
    <w:rsid w:val="00007B3A"/>
    <w:rsid w:val="000107E0"/>
    <w:rsid w:val="00011FDE"/>
    <w:rsid w:val="0001204C"/>
    <w:rsid w:val="00012FFD"/>
    <w:rsid w:val="00014162"/>
    <w:rsid w:val="00014340"/>
    <w:rsid w:val="0001488A"/>
    <w:rsid w:val="00016A9C"/>
    <w:rsid w:val="0002018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4578"/>
    <w:rsid w:val="00047F28"/>
    <w:rsid w:val="000503AA"/>
    <w:rsid w:val="000506A1"/>
    <w:rsid w:val="00051461"/>
    <w:rsid w:val="000515DD"/>
    <w:rsid w:val="0005265A"/>
    <w:rsid w:val="000539DD"/>
    <w:rsid w:val="00053BD3"/>
    <w:rsid w:val="000556ED"/>
    <w:rsid w:val="00055FE2"/>
    <w:rsid w:val="0005616F"/>
    <w:rsid w:val="000572EF"/>
    <w:rsid w:val="000573A1"/>
    <w:rsid w:val="00060C2E"/>
    <w:rsid w:val="00061033"/>
    <w:rsid w:val="000619E9"/>
    <w:rsid w:val="000622D4"/>
    <w:rsid w:val="0006357D"/>
    <w:rsid w:val="00067127"/>
    <w:rsid w:val="00067F1E"/>
    <w:rsid w:val="00071CC0"/>
    <w:rsid w:val="00073C8C"/>
    <w:rsid w:val="00074B9C"/>
    <w:rsid w:val="00075230"/>
    <w:rsid w:val="00077B64"/>
    <w:rsid w:val="00080A1C"/>
    <w:rsid w:val="00082317"/>
    <w:rsid w:val="00083D2C"/>
    <w:rsid w:val="00086AA1"/>
    <w:rsid w:val="00087A77"/>
    <w:rsid w:val="000903B9"/>
    <w:rsid w:val="00090CA6"/>
    <w:rsid w:val="00091C7E"/>
    <w:rsid w:val="00092B8A"/>
    <w:rsid w:val="00092FB0"/>
    <w:rsid w:val="000934C5"/>
    <w:rsid w:val="00093D25"/>
    <w:rsid w:val="00093DAB"/>
    <w:rsid w:val="00094D73"/>
    <w:rsid w:val="00095B66"/>
    <w:rsid w:val="00096D63"/>
    <w:rsid w:val="000972FD"/>
    <w:rsid w:val="000A0B60"/>
    <w:rsid w:val="000A0EB8"/>
    <w:rsid w:val="000A19FC"/>
    <w:rsid w:val="000A296B"/>
    <w:rsid w:val="000A7311"/>
    <w:rsid w:val="000B060F"/>
    <w:rsid w:val="000B1592"/>
    <w:rsid w:val="000B1FF2"/>
    <w:rsid w:val="000B3CDA"/>
    <w:rsid w:val="000B6090"/>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D77FA"/>
    <w:rsid w:val="000E4C9E"/>
    <w:rsid w:val="000E6FD7"/>
    <w:rsid w:val="000F06E1"/>
    <w:rsid w:val="000F0E3C"/>
    <w:rsid w:val="000F19D5"/>
    <w:rsid w:val="000F4AEA"/>
    <w:rsid w:val="000F633F"/>
    <w:rsid w:val="000F67E9"/>
    <w:rsid w:val="00104926"/>
    <w:rsid w:val="00113B1E"/>
    <w:rsid w:val="0011711C"/>
    <w:rsid w:val="0012059C"/>
    <w:rsid w:val="00121C86"/>
    <w:rsid w:val="00124E4F"/>
    <w:rsid w:val="001260B7"/>
    <w:rsid w:val="001265CB"/>
    <w:rsid w:val="001321C6"/>
    <w:rsid w:val="001325C4"/>
    <w:rsid w:val="00133010"/>
    <w:rsid w:val="001338EE"/>
    <w:rsid w:val="00133AAE"/>
    <w:rsid w:val="00135323"/>
    <w:rsid w:val="001356C4"/>
    <w:rsid w:val="00137092"/>
    <w:rsid w:val="00141114"/>
    <w:rsid w:val="00142218"/>
    <w:rsid w:val="00142969"/>
    <w:rsid w:val="0014469D"/>
    <w:rsid w:val="001446C2"/>
    <w:rsid w:val="001457E7"/>
    <w:rsid w:val="00145D9D"/>
    <w:rsid w:val="00146388"/>
    <w:rsid w:val="001501E7"/>
    <w:rsid w:val="00151F51"/>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6BD"/>
    <w:rsid w:val="0016770A"/>
    <w:rsid w:val="00170804"/>
    <w:rsid w:val="001708E9"/>
    <w:rsid w:val="0017340B"/>
    <w:rsid w:val="0017366D"/>
    <w:rsid w:val="00173891"/>
    <w:rsid w:val="00173FB1"/>
    <w:rsid w:val="00176792"/>
    <w:rsid w:val="00176DFD"/>
    <w:rsid w:val="00181A95"/>
    <w:rsid w:val="001839DF"/>
    <w:rsid w:val="001852C9"/>
    <w:rsid w:val="0018589E"/>
    <w:rsid w:val="00190087"/>
    <w:rsid w:val="001913C4"/>
    <w:rsid w:val="0019348F"/>
    <w:rsid w:val="00193A07"/>
    <w:rsid w:val="00194C95"/>
    <w:rsid w:val="00195C34"/>
    <w:rsid w:val="00196EF5"/>
    <w:rsid w:val="001A1A53"/>
    <w:rsid w:val="001A234A"/>
    <w:rsid w:val="001A4CF3"/>
    <w:rsid w:val="001B06E8"/>
    <w:rsid w:val="001B07DC"/>
    <w:rsid w:val="001B2EE3"/>
    <w:rsid w:val="001B71D0"/>
    <w:rsid w:val="001B71EE"/>
    <w:rsid w:val="001C04A8"/>
    <w:rsid w:val="001C2794"/>
    <w:rsid w:val="001C2C03"/>
    <w:rsid w:val="001C3338"/>
    <w:rsid w:val="001C42F7"/>
    <w:rsid w:val="001C49E5"/>
    <w:rsid w:val="001C680C"/>
    <w:rsid w:val="001C6D16"/>
    <w:rsid w:val="001C7043"/>
    <w:rsid w:val="001C7FEA"/>
    <w:rsid w:val="001D0499"/>
    <w:rsid w:val="001D0BBE"/>
    <w:rsid w:val="001D0ED4"/>
    <w:rsid w:val="001D212F"/>
    <w:rsid w:val="001D29D7"/>
    <w:rsid w:val="001D2DE7"/>
    <w:rsid w:val="001D31C1"/>
    <w:rsid w:val="001D3731"/>
    <w:rsid w:val="001D411C"/>
    <w:rsid w:val="001D4D2B"/>
    <w:rsid w:val="001E1519"/>
    <w:rsid w:val="001E1B6A"/>
    <w:rsid w:val="001E2484"/>
    <w:rsid w:val="001E3B2A"/>
    <w:rsid w:val="001E3CC4"/>
    <w:rsid w:val="001E4882"/>
    <w:rsid w:val="001E73AB"/>
    <w:rsid w:val="001F092D"/>
    <w:rsid w:val="001F0984"/>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482"/>
    <w:rsid w:val="00205F2C"/>
    <w:rsid w:val="00206FCC"/>
    <w:rsid w:val="00210B15"/>
    <w:rsid w:val="0021281B"/>
    <w:rsid w:val="002142EA"/>
    <w:rsid w:val="002204BB"/>
    <w:rsid w:val="00221B79"/>
    <w:rsid w:val="00221C6B"/>
    <w:rsid w:val="0022391D"/>
    <w:rsid w:val="002253A1"/>
    <w:rsid w:val="00225CF8"/>
    <w:rsid w:val="0022794E"/>
    <w:rsid w:val="00233D64"/>
    <w:rsid w:val="0023482A"/>
    <w:rsid w:val="002359CB"/>
    <w:rsid w:val="00243540"/>
    <w:rsid w:val="0024497B"/>
    <w:rsid w:val="0024515B"/>
    <w:rsid w:val="00246021"/>
    <w:rsid w:val="0024666E"/>
    <w:rsid w:val="00246698"/>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48B9"/>
    <w:rsid w:val="0027587D"/>
    <w:rsid w:val="00276D05"/>
    <w:rsid w:val="002771AC"/>
    <w:rsid w:val="00281753"/>
    <w:rsid w:val="00281BB8"/>
    <w:rsid w:val="00281E9E"/>
    <w:rsid w:val="00282405"/>
    <w:rsid w:val="00285170"/>
    <w:rsid w:val="00285361"/>
    <w:rsid w:val="00292D60"/>
    <w:rsid w:val="00293B30"/>
    <w:rsid w:val="00294D34"/>
    <w:rsid w:val="00294D80"/>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147"/>
    <w:rsid w:val="002B0255"/>
    <w:rsid w:val="002B0C40"/>
    <w:rsid w:val="002B1966"/>
    <w:rsid w:val="002B20C1"/>
    <w:rsid w:val="002B4508"/>
    <w:rsid w:val="002B5779"/>
    <w:rsid w:val="002B7332"/>
    <w:rsid w:val="002B7F51"/>
    <w:rsid w:val="002C09E7"/>
    <w:rsid w:val="002C1E06"/>
    <w:rsid w:val="002C1E1C"/>
    <w:rsid w:val="002C35CC"/>
    <w:rsid w:val="002C3F07"/>
    <w:rsid w:val="002C5278"/>
    <w:rsid w:val="002C7EBB"/>
    <w:rsid w:val="002D06C1"/>
    <w:rsid w:val="002D3B64"/>
    <w:rsid w:val="002D42B5"/>
    <w:rsid w:val="002D4F1A"/>
    <w:rsid w:val="002D68B2"/>
    <w:rsid w:val="002D6EC6"/>
    <w:rsid w:val="002D79AC"/>
    <w:rsid w:val="002E039D"/>
    <w:rsid w:val="002E1737"/>
    <w:rsid w:val="002E4D5A"/>
    <w:rsid w:val="002E6326"/>
    <w:rsid w:val="002E74F4"/>
    <w:rsid w:val="002F2BC6"/>
    <w:rsid w:val="002F30E0"/>
    <w:rsid w:val="002F35E4"/>
    <w:rsid w:val="002F3730"/>
    <w:rsid w:val="002F38E1"/>
    <w:rsid w:val="002F7AF6"/>
    <w:rsid w:val="00300E63"/>
    <w:rsid w:val="0030177B"/>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37A90"/>
    <w:rsid w:val="0034194F"/>
    <w:rsid w:val="0034322A"/>
    <w:rsid w:val="003435F6"/>
    <w:rsid w:val="00344605"/>
    <w:rsid w:val="003474AA"/>
    <w:rsid w:val="00350D1D"/>
    <w:rsid w:val="00352C83"/>
    <w:rsid w:val="00354EB5"/>
    <w:rsid w:val="003615D2"/>
    <w:rsid w:val="0036266C"/>
    <w:rsid w:val="00363D9E"/>
    <w:rsid w:val="0036429C"/>
    <w:rsid w:val="00364A53"/>
    <w:rsid w:val="003654CB"/>
    <w:rsid w:val="00365AA9"/>
    <w:rsid w:val="00365F86"/>
    <w:rsid w:val="00365F87"/>
    <w:rsid w:val="00366E89"/>
    <w:rsid w:val="003705F4"/>
    <w:rsid w:val="00370D58"/>
    <w:rsid w:val="00371316"/>
    <w:rsid w:val="003761BE"/>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D06"/>
    <w:rsid w:val="00393F42"/>
    <w:rsid w:val="00394376"/>
    <w:rsid w:val="003943FF"/>
    <w:rsid w:val="00395700"/>
    <w:rsid w:val="003974EB"/>
    <w:rsid w:val="00397CC5"/>
    <w:rsid w:val="003A1582"/>
    <w:rsid w:val="003A4077"/>
    <w:rsid w:val="003A7C68"/>
    <w:rsid w:val="003B09AD"/>
    <w:rsid w:val="003B1F18"/>
    <w:rsid w:val="003B2121"/>
    <w:rsid w:val="003B5BF0"/>
    <w:rsid w:val="003B60BF"/>
    <w:rsid w:val="003B6BE3"/>
    <w:rsid w:val="003C010C"/>
    <w:rsid w:val="003C0A6C"/>
    <w:rsid w:val="003C14F8"/>
    <w:rsid w:val="003C5A43"/>
    <w:rsid w:val="003D0519"/>
    <w:rsid w:val="003D0FF6"/>
    <w:rsid w:val="003D262C"/>
    <w:rsid w:val="003D6D61"/>
    <w:rsid w:val="003D6D88"/>
    <w:rsid w:val="003D79C6"/>
    <w:rsid w:val="003E047A"/>
    <w:rsid w:val="003E091D"/>
    <w:rsid w:val="003E1AC5"/>
    <w:rsid w:val="003E1C53"/>
    <w:rsid w:val="003E239D"/>
    <w:rsid w:val="003E2A69"/>
    <w:rsid w:val="003E2D49"/>
    <w:rsid w:val="003E2FD4"/>
    <w:rsid w:val="003E49F6"/>
    <w:rsid w:val="003E660F"/>
    <w:rsid w:val="003E7929"/>
    <w:rsid w:val="003F0841"/>
    <w:rsid w:val="003F18DC"/>
    <w:rsid w:val="003F1CF3"/>
    <w:rsid w:val="003F23D3"/>
    <w:rsid w:val="003F3F08"/>
    <w:rsid w:val="003F49F1"/>
    <w:rsid w:val="003F6272"/>
    <w:rsid w:val="00400E72"/>
    <w:rsid w:val="00401400"/>
    <w:rsid w:val="0040484C"/>
    <w:rsid w:val="00404869"/>
    <w:rsid w:val="00405884"/>
    <w:rsid w:val="00407D39"/>
    <w:rsid w:val="00411678"/>
    <w:rsid w:val="0041477A"/>
    <w:rsid w:val="004167A3"/>
    <w:rsid w:val="00432DAA"/>
    <w:rsid w:val="00434305"/>
    <w:rsid w:val="00435588"/>
    <w:rsid w:val="00435DF7"/>
    <w:rsid w:val="0044083F"/>
    <w:rsid w:val="00441AE7"/>
    <w:rsid w:val="004437CD"/>
    <w:rsid w:val="00445574"/>
    <w:rsid w:val="004467FB"/>
    <w:rsid w:val="00452D6B"/>
    <w:rsid w:val="00454484"/>
    <w:rsid w:val="0045517B"/>
    <w:rsid w:val="00461E7A"/>
    <w:rsid w:val="00463B77"/>
    <w:rsid w:val="00463C7B"/>
    <w:rsid w:val="004644A6"/>
    <w:rsid w:val="004659BD"/>
    <w:rsid w:val="00466026"/>
    <w:rsid w:val="0047072F"/>
    <w:rsid w:val="00470775"/>
    <w:rsid w:val="00472953"/>
    <w:rsid w:val="004746B1"/>
    <w:rsid w:val="0047583F"/>
    <w:rsid w:val="00475DE8"/>
    <w:rsid w:val="00481C44"/>
    <w:rsid w:val="00482485"/>
    <w:rsid w:val="00484936"/>
    <w:rsid w:val="00485C89"/>
    <w:rsid w:val="00486018"/>
    <w:rsid w:val="00486BE3"/>
    <w:rsid w:val="004905E4"/>
    <w:rsid w:val="00490A89"/>
    <w:rsid w:val="00490AB4"/>
    <w:rsid w:val="004912C2"/>
    <w:rsid w:val="00492030"/>
    <w:rsid w:val="00492F02"/>
    <w:rsid w:val="004939AE"/>
    <w:rsid w:val="00494F49"/>
    <w:rsid w:val="004950DE"/>
    <w:rsid w:val="00497D57"/>
    <w:rsid w:val="004A12DF"/>
    <w:rsid w:val="004A17E6"/>
    <w:rsid w:val="004A1BA8"/>
    <w:rsid w:val="004A4B57"/>
    <w:rsid w:val="004A63FA"/>
    <w:rsid w:val="004B0272"/>
    <w:rsid w:val="004B2701"/>
    <w:rsid w:val="004B2E1B"/>
    <w:rsid w:val="004B3A6D"/>
    <w:rsid w:val="004B3AA8"/>
    <w:rsid w:val="004B3E93"/>
    <w:rsid w:val="004B4753"/>
    <w:rsid w:val="004C017C"/>
    <w:rsid w:val="004C1FBC"/>
    <w:rsid w:val="004C3F1D"/>
    <w:rsid w:val="004C458D"/>
    <w:rsid w:val="004C7556"/>
    <w:rsid w:val="004C7E8B"/>
    <w:rsid w:val="004C7E9D"/>
    <w:rsid w:val="004C7F67"/>
    <w:rsid w:val="004D076D"/>
    <w:rsid w:val="004D0EF1"/>
    <w:rsid w:val="004D2253"/>
    <w:rsid w:val="004D338A"/>
    <w:rsid w:val="004D4406"/>
    <w:rsid w:val="004D60AA"/>
    <w:rsid w:val="004D7C42"/>
    <w:rsid w:val="004E0465"/>
    <w:rsid w:val="004E127B"/>
    <w:rsid w:val="004E1C0A"/>
    <w:rsid w:val="004E247A"/>
    <w:rsid w:val="004E2B06"/>
    <w:rsid w:val="004E30C5"/>
    <w:rsid w:val="004E3995"/>
    <w:rsid w:val="004E4AA5"/>
    <w:rsid w:val="004E4AEE"/>
    <w:rsid w:val="004E59E3"/>
    <w:rsid w:val="004E67C0"/>
    <w:rsid w:val="004F391A"/>
    <w:rsid w:val="004F3CFB"/>
    <w:rsid w:val="004F50A7"/>
    <w:rsid w:val="004F6456"/>
    <w:rsid w:val="004F696E"/>
    <w:rsid w:val="004F6C71"/>
    <w:rsid w:val="00500612"/>
    <w:rsid w:val="00501139"/>
    <w:rsid w:val="0050363E"/>
    <w:rsid w:val="005039BC"/>
    <w:rsid w:val="005043BB"/>
    <w:rsid w:val="00504A3D"/>
    <w:rsid w:val="00505767"/>
    <w:rsid w:val="005073F0"/>
    <w:rsid w:val="00510A7B"/>
    <w:rsid w:val="00512F6E"/>
    <w:rsid w:val="00513038"/>
    <w:rsid w:val="00513A80"/>
    <w:rsid w:val="00514174"/>
    <w:rsid w:val="00516088"/>
    <w:rsid w:val="00516B0B"/>
    <w:rsid w:val="005220EC"/>
    <w:rsid w:val="00523F95"/>
    <w:rsid w:val="00524D65"/>
    <w:rsid w:val="00525AB5"/>
    <w:rsid w:val="00525B16"/>
    <w:rsid w:val="00533657"/>
    <w:rsid w:val="00533949"/>
    <w:rsid w:val="00533D04"/>
    <w:rsid w:val="00534804"/>
    <w:rsid w:val="00534BDF"/>
    <w:rsid w:val="005354EA"/>
    <w:rsid w:val="0053585F"/>
    <w:rsid w:val="00535EC4"/>
    <w:rsid w:val="00535ED9"/>
    <w:rsid w:val="0053692B"/>
    <w:rsid w:val="00537572"/>
    <w:rsid w:val="00541853"/>
    <w:rsid w:val="00543BDA"/>
    <w:rsid w:val="005441CC"/>
    <w:rsid w:val="005479DA"/>
    <w:rsid w:val="00547BCC"/>
    <w:rsid w:val="0055013B"/>
    <w:rsid w:val="00551F6F"/>
    <w:rsid w:val="00553D67"/>
    <w:rsid w:val="00555044"/>
    <w:rsid w:val="00561475"/>
    <w:rsid w:val="005631BA"/>
    <w:rsid w:val="0056487B"/>
    <w:rsid w:val="00564FB9"/>
    <w:rsid w:val="00565B43"/>
    <w:rsid w:val="00573D9E"/>
    <w:rsid w:val="00577F35"/>
    <w:rsid w:val="005801E3"/>
    <w:rsid w:val="005805BE"/>
    <w:rsid w:val="005814DF"/>
    <w:rsid w:val="00581802"/>
    <w:rsid w:val="005836A8"/>
    <w:rsid w:val="0058409C"/>
    <w:rsid w:val="00584262"/>
    <w:rsid w:val="00586630"/>
    <w:rsid w:val="00587ADD"/>
    <w:rsid w:val="00590C30"/>
    <w:rsid w:val="00591E27"/>
    <w:rsid w:val="00591E67"/>
    <w:rsid w:val="00595498"/>
    <w:rsid w:val="00596160"/>
    <w:rsid w:val="005966E2"/>
    <w:rsid w:val="00597007"/>
    <w:rsid w:val="005A0966"/>
    <w:rsid w:val="005A11B7"/>
    <w:rsid w:val="005A260B"/>
    <w:rsid w:val="005A4A1B"/>
    <w:rsid w:val="005A7830"/>
    <w:rsid w:val="005A7FCE"/>
    <w:rsid w:val="005B040A"/>
    <w:rsid w:val="005B0F3F"/>
    <w:rsid w:val="005B478C"/>
    <w:rsid w:val="005B4903"/>
    <w:rsid w:val="005B51CE"/>
    <w:rsid w:val="005B5885"/>
    <w:rsid w:val="005B5CD7"/>
    <w:rsid w:val="005B6CF6"/>
    <w:rsid w:val="005B7422"/>
    <w:rsid w:val="005C29B8"/>
    <w:rsid w:val="005C2AC5"/>
    <w:rsid w:val="005C302A"/>
    <w:rsid w:val="005C5F21"/>
    <w:rsid w:val="005C7156"/>
    <w:rsid w:val="005D0C75"/>
    <w:rsid w:val="005D247E"/>
    <w:rsid w:val="005D4171"/>
    <w:rsid w:val="005D6A95"/>
    <w:rsid w:val="005D6B2C"/>
    <w:rsid w:val="005D6D9C"/>
    <w:rsid w:val="005E2335"/>
    <w:rsid w:val="005E34CA"/>
    <w:rsid w:val="005E3C18"/>
    <w:rsid w:val="005E6812"/>
    <w:rsid w:val="005E7881"/>
    <w:rsid w:val="005E78E0"/>
    <w:rsid w:val="005F0D9C"/>
    <w:rsid w:val="005F284E"/>
    <w:rsid w:val="005F4712"/>
    <w:rsid w:val="005F6612"/>
    <w:rsid w:val="006015CE"/>
    <w:rsid w:val="00604784"/>
    <w:rsid w:val="006053AC"/>
    <w:rsid w:val="00606419"/>
    <w:rsid w:val="00607D29"/>
    <w:rsid w:val="00612952"/>
    <w:rsid w:val="00614CC1"/>
    <w:rsid w:val="00615A9D"/>
    <w:rsid w:val="00617387"/>
    <w:rsid w:val="006205D6"/>
    <w:rsid w:val="006252D8"/>
    <w:rsid w:val="006259BC"/>
    <w:rsid w:val="0062636B"/>
    <w:rsid w:val="00631C92"/>
    <w:rsid w:val="00632182"/>
    <w:rsid w:val="00632AE0"/>
    <w:rsid w:val="00633C17"/>
    <w:rsid w:val="00634D9E"/>
    <w:rsid w:val="00636E3E"/>
    <w:rsid w:val="006379F7"/>
    <w:rsid w:val="00637D2E"/>
    <w:rsid w:val="00637DA4"/>
    <w:rsid w:val="00637E4D"/>
    <w:rsid w:val="00640620"/>
    <w:rsid w:val="00641A1F"/>
    <w:rsid w:val="0064303B"/>
    <w:rsid w:val="00645904"/>
    <w:rsid w:val="00647930"/>
    <w:rsid w:val="00651ACB"/>
    <w:rsid w:val="00651C47"/>
    <w:rsid w:val="00652AB2"/>
    <w:rsid w:val="00653FED"/>
    <w:rsid w:val="00654EC0"/>
    <w:rsid w:val="0065525B"/>
    <w:rsid w:val="00655D4F"/>
    <w:rsid w:val="00656D29"/>
    <w:rsid w:val="00657BB3"/>
    <w:rsid w:val="0066401B"/>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0CD"/>
    <w:rsid w:val="00695D22"/>
    <w:rsid w:val="006A07AA"/>
    <w:rsid w:val="006A25E5"/>
    <w:rsid w:val="006A2B46"/>
    <w:rsid w:val="006A336D"/>
    <w:rsid w:val="006A37B9"/>
    <w:rsid w:val="006B2672"/>
    <w:rsid w:val="006B54BF"/>
    <w:rsid w:val="006B5F44"/>
    <w:rsid w:val="006B5F90"/>
    <w:rsid w:val="006B62E4"/>
    <w:rsid w:val="006C1BBA"/>
    <w:rsid w:val="006C2079"/>
    <w:rsid w:val="006C3637"/>
    <w:rsid w:val="006C5A62"/>
    <w:rsid w:val="006C5D68"/>
    <w:rsid w:val="006C6976"/>
    <w:rsid w:val="006C6DD0"/>
    <w:rsid w:val="006C778F"/>
    <w:rsid w:val="006D04EA"/>
    <w:rsid w:val="006D0AB7"/>
    <w:rsid w:val="006D16C4"/>
    <w:rsid w:val="006D3E96"/>
    <w:rsid w:val="006D4515"/>
    <w:rsid w:val="006D4BB1"/>
    <w:rsid w:val="006D6593"/>
    <w:rsid w:val="006D6693"/>
    <w:rsid w:val="006D6CB0"/>
    <w:rsid w:val="006E23EA"/>
    <w:rsid w:val="006E7D65"/>
    <w:rsid w:val="006F03A8"/>
    <w:rsid w:val="006F2ACA"/>
    <w:rsid w:val="006F2ADC"/>
    <w:rsid w:val="006F2BFE"/>
    <w:rsid w:val="006F31E9"/>
    <w:rsid w:val="006F6284"/>
    <w:rsid w:val="007002C5"/>
    <w:rsid w:val="00704387"/>
    <w:rsid w:val="007067A8"/>
    <w:rsid w:val="00707669"/>
    <w:rsid w:val="00711CBA"/>
    <w:rsid w:val="00711FB5"/>
    <w:rsid w:val="00712A01"/>
    <w:rsid w:val="00714F58"/>
    <w:rsid w:val="00717148"/>
    <w:rsid w:val="00722FBF"/>
    <w:rsid w:val="00722FC2"/>
    <w:rsid w:val="00724494"/>
    <w:rsid w:val="00724879"/>
    <w:rsid w:val="00724E1B"/>
    <w:rsid w:val="00725949"/>
    <w:rsid w:val="00727FA2"/>
    <w:rsid w:val="007322D9"/>
    <w:rsid w:val="00732BC0"/>
    <w:rsid w:val="00734B9D"/>
    <w:rsid w:val="0073720F"/>
    <w:rsid w:val="00737796"/>
    <w:rsid w:val="00737B9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0D67"/>
    <w:rsid w:val="00764B0A"/>
    <w:rsid w:val="00765C43"/>
    <w:rsid w:val="00765EFB"/>
    <w:rsid w:val="00767128"/>
    <w:rsid w:val="007671CA"/>
    <w:rsid w:val="00767C61"/>
    <w:rsid w:val="0077008A"/>
    <w:rsid w:val="007729B7"/>
    <w:rsid w:val="00773A6B"/>
    <w:rsid w:val="00773C1F"/>
    <w:rsid w:val="00774DA4"/>
    <w:rsid w:val="00776599"/>
    <w:rsid w:val="0078114B"/>
    <w:rsid w:val="00781DD2"/>
    <w:rsid w:val="00783ECF"/>
    <w:rsid w:val="0078413A"/>
    <w:rsid w:val="00785611"/>
    <w:rsid w:val="00793769"/>
    <w:rsid w:val="007959E8"/>
    <w:rsid w:val="00795E9C"/>
    <w:rsid w:val="00796F58"/>
    <w:rsid w:val="007A0521"/>
    <w:rsid w:val="007A2E12"/>
    <w:rsid w:val="007A3475"/>
    <w:rsid w:val="007A41C8"/>
    <w:rsid w:val="007A54CE"/>
    <w:rsid w:val="007A6FD9"/>
    <w:rsid w:val="007A79FC"/>
    <w:rsid w:val="007A7FFA"/>
    <w:rsid w:val="007B04EB"/>
    <w:rsid w:val="007B0D4F"/>
    <w:rsid w:val="007B5271"/>
    <w:rsid w:val="007B5A3D"/>
    <w:rsid w:val="007B5B95"/>
    <w:rsid w:val="007B68EA"/>
    <w:rsid w:val="007B71BF"/>
    <w:rsid w:val="007B7453"/>
    <w:rsid w:val="007C10C5"/>
    <w:rsid w:val="007C1E8B"/>
    <w:rsid w:val="007C2D89"/>
    <w:rsid w:val="007C4593"/>
    <w:rsid w:val="007C5309"/>
    <w:rsid w:val="007C6069"/>
    <w:rsid w:val="007D06C4"/>
    <w:rsid w:val="007D1352"/>
    <w:rsid w:val="007D2508"/>
    <w:rsid w:val="007D346A"/>
    <w:rsid w:val="007D6518"/>
    <w:rsid w:val="007D76BD"/>
    <w:rsid w:val="007E0BF1"/>
    <w:rsid w:val="007E4659"/>
    <w:rsid w:val="007F0ED8"/>
    <w:rsid w:val="007F0F63"/>
    <w:rsid w:val="007F73C9"/>
    <w:rsid w:val="007F75CE"/>
    <w:rsid w:val="007F7E15"/>
    <w:rsid w:val="008013A4"/>
    <w:rsid w:val="008027CE"/>
    <w:rsid w:val="00802F42"/>
    <w:rsid w:val="00804383"/>
    <w:rsid w:val="00804BB7"/>
    <w:rsid w:val="00804D41"/>
    <w:rsid w:val="00810257"/>
    <w:rsid w:val="008104F5"/>
    <w:rsid w:val="00811072"/>
    <w:rsid w:val="00811369"/>
    <w:rsid w:val="00812945"/>
    <w:rsid w:val="00815419"/>
    <w:rsid w:val="008163C8"/>
    <w:rsid w:val="008164A1"/>
    <w:rsid w:val="00817325"/>
    <w:rsid w:val="00817B53"/>
    <w:rsid w:val="008209E6"/>
    <w:rsid w:val="00823303"/>
    <w:rsid w:val="008233B2"/>
    <w:rsid w:val="00823A9F"/>
    <w:rsid w:val="00823C85"/>
    <w:rsid w:val="00825138"/>
    <w:rsid w:val="008269DD"/>
    <w:rsid w:val="00830621"/>
    <w:rsid w:val="0083348C"/>
    <w:rsid w:val="00834905"/>
    <w:rsid w:val="008373D3"/>
    <w:rsid w:val="00840617"/>
    <w:rsid w:val="00840F84"/>
    <w:rsid w:val="00842A47"/>
    <w:rsid w:val="00843C13"/>
    <w:rsid w:val="008454F8"/>
    <w:rsid w:val="00846A1E"/>
    <w:rsid w:val="0085173A"/>
    <w:rsid w:val="00856316"/>
    <w:rsid w:val="008579C7"/>
    <w:rsid w:val="008603CE"/>
    <w:rsid w:val="008620FC"/>
    <w:rsid w:val="008627A5"/>
    <w:rsid w:val="00863E05"/>
    <w:rsid w:val="00865ACA"/>
    <w:rsid w:val="00865D28"/>
    <w:rsid w:val="00865F85"/>
    <w:rsid w:val="00867C10"/>
    <w:rsid w:val="00870439"/>
    <w:rsid w:val="00870DA1"/>
    <w:rsid w:val="00874D29"/>
    <w:rsid w:val="0088120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5A59"/>
    <w:rsid w:val="008B77C2"/>
    <w:rsid w:val="008B7E05"/>
    <w:rsid w:val="008C12B6"/>
    <w:rsid w:val="008C1797"/>
    <w:rsid w:val="008C219C"/>
    <w:rsid w:val="008C475E"/>
    <w:rsid w:val="008C619A"/>
    <w:rsid w:val="008D0CE8"/>
    <w:rsid w:val="008D1373"/>
    <w:rsid w:val="008D2D1D"/>
    <w:rsid w:val="008D453D"/>
    <w:rsid w:val="008D53AD"/>
    <w:rsid w:val="008D562B"/>
    <w:rsid w:val="008D5733"/>
    <w:rsid w:val="008D622B"/>
    <w:rsid w:val="008D6639"/>
    <w:rsid w:val="008D666C"/>
    <w:rsid w:val="008D74BD"/>
    <w:rsid w:val="008D7B54"/>
    <w:rsid w:val="008E0C9D"/>
    <w:rsid w:val="008E1648"/>
    <w:rsid w:val="008E1B3E"/>
    <w:rsid w:val="008E2319"/>
    <w:rsid w:val="008E4BB6"/>
    <w:rsid w:val="008E5518"/>
    <w:rsid w:val="008E6A84"/>
    <w:rsid w:val="008F0161"/>
    <w:rsid w:val="008F0CDC"/>
    <w:rsid w:val="008F17A3"/>
    <w:rsid w:val="008F1ED3"/>
    <w:rsid w:val="008F23A5"/>
    <w:rsid w:val="008F2524"/>
    <w:rsid w:val="008F2CB3"/>
    <w:rsid w:val="008F4C29"/>
    <w:rsid w:val="008F70BD"/>
    <w:rsid w:val="008F788F"/>
    <w:rsid w:val="008F7EA2"/>
    <w:rsid w:val="00902722"/>
    <w:rsid w:val="009027BC"/>
    <w:rsid w:val="00904C4A"/>
    <w:rsid w:val="009062E6"/>
    <w:rsid w:val="00911399"/>
    <w:rsid w:val="00911BE5"/>
    <w:rsid w:val="00913CA9"/>
    <w:rsid w:val="009145AE"/>
    <w:rsid w:val="009146CE"/>
    <w:rsid w:val="00914CA7"/>
    <w:rsid w:val="00915C3E"/>
    <w:rsid w:val="009161A8"/>
    <w:rsid w:val="00920F65"/>
    <w:rsid w:val="009245F5"/>
    <w:rsid w:val="009249EC"/>
    <w:rsid w:val="0092640C"/>
    <w:rsid w:val="009273B3"/>
    <w:rsid w:val="009305B5"/>
    <w:rsid w:val="009429D5"/>
    <w:rsid w:val="00942BF1"/>
    <w:rsid w:val="00944DD0"/>
    <w:rsid w:val="00944F7B"/>
    <w:rsid w:val="00945180"/>
    <w:rsid w:val="00945428"/>
    <w:rsid w:val="0094607B"/>
    <w:rsid w:val="00953604"/>
    <w:rsid w:val="0095496B"/>
    <w:rsid w:val="009610DC"/>
    <w:rsid w:val="00961490"/>
    <w:rsid w:val="00962F52"/>
    <w:rsid w:val="0096374B"/>
    <w:rsid w:val="0096381A"/>
    <w:rsid w:val="00963C93"/>
    <w:rsid w:val="00963D00"/>
    <w:rsid w:val="00965E04"/>
    <w:rsid w:val="009674AD"/>
    <w:rsid w:val="00970CDC"/>
    <w:rsid w:val="00973291"/>
    <w:rsid w:val="00977010"/>
    <w:rsid w:val="00977D02"/>
    <w:rsid w:val="009809BB"/>
    <w:rsid w:val="0098364B"/>
    <w:rsid w:val="00986A7F"/>
    <w:rsid w:val="009911AF"/>
    <w:rsid w:val="00991875"/>
    <w:rsid w:val="00991F92"/>
    <w:rsid w:val="00992985"/>
    <w:rsid w:val="00993889"/>
    <w:rsid w:val="009939D3"/>
    <w:rsid w:val="0099551B"/>
    <w:rsid w:val="00997BF1"/>
    <w:rsid w:val="009A05CD"/>
    <w:rsid w:val="009A089C"/>
    <w:rsid w:val="009A0AD6"/>
    <w:rsid w:val="009A118E"/>
    <w:rsid w:val="009A21CD"/>
    <w:rsid w:val="009A278C"/>
    <w:rsid w:val="009A2BC2"/>
    <w:rsid w:val="009A42C1"/>
    <w:rsid w:val="009A46D0"/>
    <w:rsid w:val="009A5429"/>
    <w:rsid w:val="009A72AD"/>
    <w:rsid w:val="009B09E0"/>
    <w:rsid w:val="009B0BC5"/>
    <w:rsid w:val="009B1247"/>
    <w:rsid w:val="009B1493"/>
    <w:rsid w:val="009B14AD"/>
    <w:rsid w:val="009B23F4"/>
    <w:rsid w:val="009B46F9"/>
    <w:rsid w:val="009B5E75"/>
    <w:rsid w:val="009B6029"/>
    <w:rsid w:val="009B6971"/>
    <w:rsid w:val="009B7D1E"/>
    <w:rsid w:val="009C03E2"/>
    <w:rsid w:val="009C27F1"/>
    <w:rsid w:val="009C3152"/>
    <w:rsid w:val="009C4CFA"/>
    <w:rsid w:val="009C5070"/>
    <w:rsid w:val="009C5FC3"/>
    <w:rsid w:val="009D112C"/>
    <w:rsid w:val="009D20E1"/>
    <w:rsid w:val="009D47FA"/>
    <w:rsid w:val="009D4C5B"/>
    <w:rsid w:val="009D50D2"/>
    <w:rsid w:val="009D6BCA"/>
    <w:rsid w:val="009E0F62"/>
    <w:rsid w:val="009E4A58"/>
    <w:rsid w:val="009E5A2D"/>
    <w:rsid w:val="009E5AB2"/>
    <w:rsid w:val="009E6219"/>
    <w:rsid w:val="009E79B5"/>
    <w:rsid w:val="009F03B3"/>
    <w:rsid w:val="00A0096C"/>
    <w:rsid w:val="00A01757"/>
    <w:rsid w:val="00A028C0"/>
    <w:rsid w:val="00A02BAE"/>
    <w:rsid w:val="00A04EA3"/>
    <w:rsid w:val="00A06A6B"/>
    <w:rsid w:val="00A070B7"/>
    <w:rsid w:val="00A078CA"/>
    <w:rsid w:val="00A07E47"/>
    <w:rsid w:val="00A129D0"/>
    <w:rsid w:val="00A12C33"/>
    <w:rsid w:val="00A138BA"/>
    <w:rsid w:val="00A14C8E"/>
    <w:rsid w:val="00A153D9"/>
    <w:rsid w:val="00A15F09"/>
    <w:rsid w:val="00A169B6"/>
    <w:rsid w:val="00A2271D"/>
    <w:rsid w:val="00A237BD"/>
    <w:rsid w:val="00A237D5"/>
    <w:rsid w:val="00A30EFC"/>
    <w:rsid w:val="00A31984"/>
    <w:rsid w:val="00A32D73"/>
    <w:rsid w:val="00A3367B"/>
    <w:rsid w:val="00A3597D"/>
    <w:rsid w:val="00A36DD1"/>
    <w:rsid w:val="00A37C1F"/>
    <w:rsid w:val="00A4006C"/>
    <w:rsid w:val="00A40091"/>
    <w:rsid w:val="00A4030F"/>
    <w:rsid w:val="00A41C79"/>
    <w:rsid w:val="00A41CB5"/>
    <w:rsid w:val="00A42CDF"/>
    <w:rsid w:val="00A42E07"/>
    <w:rsid w:val="00A4452E"/>
    <w:rsid w:val="00A4472C"/>
    <w:rsid w:val="00A44E69"/>
    <w:rsid w:val="00A4661E"/>
    <w:rsid w:val="00A55BD6"/>
    <w:rsid w:val="00A55D50"/>
    <w:rsid w:val="00A57142"/>
    <w:rsid w:val="00A63250"/>
    <w:rsid w:val="00A648CD"/>
    <w:rsid w:val="00A6537A"/>
    <w:rsid w:val="00A67866"/>
    <w:rsid w:val="00A70B07"/>
    <w:rsid w:val="00A70C9B"/>
    <w:rsid w:val="00A71053"/>
    <w:rsid w:val="00A723F8"/>
    <w:rsid w:val="00A757CB"/>
    <w:rsid w:val="00A7671F"/>
    <w:rsid w:val="00A77CCB"/>
    <w:rsid w:val="00A80291"/>
    <w:rsid w:val="00A83D8D"/>
    <w:rsid w:val="00A8446B"/>
    <w:rsid w:val="00A8473F"/>
    <w:rsid w:val="00A862D6"/>
    <w:rsid w:val="00A8715E"/>
    <w:rsid w:val="00A9295B"/>
    <w:rsid w:val="00A92AFA"/>
    <w:rsid w:val="00A933EC"/>
    <w:rsid w:val="00A93B09"/>
    <w:rsid w:val="00A94247"/>
    <w:rsid w:val="00A952D7"/>
    <w:rsid w:val="00A963F7"/>
    <w:rsid w:val="00A9669B"/>
    <w:rsid w:val="00A96AD8"/>
    <w:rsid w:val="00AA052C"/>
    <w:rsid w:val="00AA1E45"/>
    <w:rsid w:val="00AA4286"/>
    <w:rsid w:val="00AA456B"/>
    <w:rsid w:val="00AA57F5"/>
    <w:rsid w:val="00AA672E"/>
    <w:rsid w:val="00AA6EC9"/>
    <w:rsid w:val="00AB41D5"/>
    <w:rsid w:val="00AB50CF"/>
    <w:rsid w:val="00AB6309"/>
    <w:rsid w:val="00AB6C5F"/>
    <w:rsid w:val="00AB7129"/>
    <w:rsid w:val="00AC27A6"/>
    <w:rsid w:val="00AC30F7"/>
    <w:rsid w:val="00AC3A5A"/>
    <w:rsid w:val="00AC4D95"/>
    <w:rsid w:val="00AC4DA8"/>
    <w:rsid w:val="00AC5DF4"/>
    <w:rsid w:val="00AD0072"/>
    <w:rsid w:val="00AD0AEF"/>
    <w:rsid w:val="00AD11B7"/>
    <w:rsid w:val="00AD1A94"/>
    <w:rsid w:val="00AD1C05"/>
    <w:rsid w:val="00AD4126"/>
    <w:rsid w:val="00AD421C"/>
    <w:rsid w:val="00AD44FA"/>
    <w:rsid w:val="00AD7AC3"/>
    <w:rsid w:val="00AE070A"/>
    <w:rsid w:val="00AE101C"/>
    <w:rsid w:val="00AE2E8F"/>
    <w:rsid w:val="00AE37E5"/>
    <w:rsid w:val="00AE5EB4"/>
    <w:rsid w:val="00AF0C18"/>
    <w:rsid w:val="00AF47C5"/>
    <w:rsid w:val="00AF5398"/>
    <w:rsid w:val="00AF64D9"/>
    <w:rsid w:val="00AF6A72"/>
    <w:rsid w:val="00B01054"/>
    <w:rsid w:val="00B049AF"/>
    <w:rsid w:val="00B07242"/>
    <w:rsid w:val="00B10534"/>
    <w:rsid w:val="00B113DB"/>
    <w:rsid w:val="00B11D8A"/>
    <w:rsid w:val="00B12981"/>
    <w:rsid w:val="00B147DD"/>
    <w:rsid w:val="00B156FD"/>
    <w:rsid w:val="00B21F61"/>
    <w:rsid w:val="00B261F1"/>
    <w:rsid w:val="00B265BC"/>
    <w:rsid w:val="00B30BDA"/>
    <w:rsid w:val="00B31FB1"/>
    <w:rsid w:val="00B33952"/>
    <w:rsid w:val="00B33C5E"/>
    <w:rsid w:val="00B342F4"/>
    <w:rsid w:val="00B34369"/>
    <w:rsid w:val="00B34DC2"/>
    <w:rsid w:val="00B378E5"/>
    <w:rsid w:val="00B42989"/>
    <w:rsid w:val="00B4346D"/>
    <w:rsid w:val="00B440F4"/>
    <w:rsid w:val="00B447A5"/>
    <w:rsid w:val="00B45600"/>
    <w:rsid w:val="00B4654C"/>
    <w:rsid w:val="00B46AF0"/>
    <w:rsid w:val="00B471B4"/>
    <w:rsid w:val="00B47293"/>
    <w:rsid w:val="00B50E50"/>
    <w:rsid w:val="00B52120"/>
    <w:rsid w:val="00B5471E"/>
    <w:rsid w:val="00B54ABC"/>
    <w:rsid w:val="00B54DDE"/>
    <w:rsid w:val="00B561DD"/>
    <w:rsid w:val="00B56FBE"/>
    <w:rsid w:val="00B60ACF"/>
    <w:rsid w:val="00B61C10"/>
    <w:rsid w:val="00B62B58"/>
    <w:rsid w:val="00B65149"/>
    <w:rsid w:val="00B66567"/>
    <w:rsid w:val="00B66F52"/>
    <w:rsid w:val="00B66FE5"/>
    <w:rsid w:val="00B72880"/>
    <w:rsid w:val="00B7304E"/>
    <w:rsid w:val="00B758BF"/>
    <w:rsid w:val="00B771BB"/>
    <w:rsid w:val="00B77EC8"/>
    <w:rsid w:val="00B80FC0"/>
    <w:rsid w:val="00B827A6"/>
    <w:rsid w:val="00B831CE"/>
    <w:rsid w:val="00B83672"/>
    <w:rsid w:val="00B86677"/>
    <w:rsid w:val="00B87131"/>
    <w:rsid w:val="00B939B1"/>
    <w:rsid w:val="00B9489B"/>
    <w:rsid w:val="00B96D40"/>
    <w:rsid w:val="00B9727F"/>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2769"/>
    <w:rsid w:val="00BE3873"/>
    <w:rsid w:val="00BE5B52"/>
    <w:rsid w:val="00BE7B8D"/>
    <w:rsid w:val="00BF0993"/>
    <w:rsid w:val="00BF10A9"/>
    <w:rsid w:val="00BF1703"/>
    <w:rsid w:val="00BF231C"/>
    <w:rsid w:val="00BF51E5"/>
    <w:rsid w:val="00BF74A6"/>
    <w:rsid w:val="00C013AD"/>
    <w:rsid w:val="00C04904"/>
    <w:rsid w:val="00C056B3"/>
    <w:rsid w:val="00C05A36"/>
    <w:rsid w:val="00C103E5"/>
    <w:rsid w:val="00C13319"/>
    <w:rsid w:val="00C13EE9"/>
    <w:rsid w:val="00C203D1"/>
    <w:rsid w:val="00C20AED"/>
    <w:rsid w:val="00C21540"/>
    <w:rsid w:val="00C21906"/>
    <w:rsid w:val="00C21BFA"/>
    <w:rsid w:val="00C22148"/>
    <w:rsid w:val="00C24C8D"/>
    <w:rsid w:val="00C25FE2"/>
    <w:rsid w:val="00C26B53"/>
    <w:rsid w:val="00C279B2"/>
    <w:rsid w:val="00C3231C"/>
    <w:rsid w:val="00C33E50"/>
    <w:rsid w:val="00C34C20"/>
    <w:rsid w:val="00C35A3E"/>
    <w:rsid w:val="00C42130"/>
    <w:rsid w:val="00C423A4"/>
    <w:rsid w:val="00C44BF5"/>
    <w:rsid w:val="00C45A8C"/>
    <w:rsid w:val="00C521D6"/>
    <w:rsid w:val="00C55232"/>
    <w:rsid w:val="00C553A4"/>
    <w:rsid w:val="00C55A06"/>
    <w:rsid w:val="00C55D03"/>
    <w:rsid w:val="00C55DCE"/>
    <w:rsid w:val="00C57EAF"/>
    <w:rsid w:val="00C601BC"/>
    <w:rsid w:val="00C63121"/>
    <w:rsid w:val="00C6329F"/>
    <w:rsid w:val="00C63340"/>
    <w:rsid w:val="00C643F9"/>
    <w:rsid w:val="00C64E95"/>
    <w:rsid w:val="00C71372"/>
    <w:rsid w:val="00C72410"/>
    <w:rsid w:val="00C7287F"/>
    <w:rsid w:val="00C742F1"/>
    <w:rsid w:val="00C776D9"/>
    <w:rsid w:val="00C80CB8"/>
    <w:rsid w:val="00C819F8"/>
    <w:rsid w:val="00C8248C"/>
    <w:rsid w:val="00C84E33"/>
    <w:rsid w:val="00C86D6F"/>
    <w:rsid w:val="00C87869"/>
    <w:rsid w:val="00C905FC"/>
    <w:rsid w:val="00C92D03"/>
    <w:rsid w:val="00C92E0B"/>
    <w:rsid w:val="00C9319C"/>
    <w:rsid w:val="00C9435D"/>
    <w:rsid w:val="00C94DF2"/>
    <w:rsid w:val="00C96741"/>
    <w:rsid w:val="00CA2D1B"/>
    <w:rsid w:val="00CA356F"/>
    <w:rsid w:val="00CA375D"/>
    <w:rsid w:val="00CA44F0"/>
    <w:rsid w:val="00CA4839"/>
    <w:rsid w:val="00CA58EA"/>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704C"/>
    <w:rsid w:val="00CF048A"/>
    <w:rsid w:val="00CF155A"/>
    <w:rsid w:val="00CF2947"/>
    <w:rsid w:val="00CF686F"/>
    <w:rsid w:val="00CF6E60"/>
    <w:rsid w:val="00CF7BCA"/>
    <w:rsid w:val="00D008FD"/>
    <w:rsid w:val="00D02802"/>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6630"/>
    <w:rsid w:val="00D27582"/>
    <w:rsid w:val="00D27EC4"/>
    <w:rsid w:val="00D32719"/>
    <w:rsid w:val="00D33333"/>
    <w:rsid w:val="00D33457"/>
    <w:rsid w:val="00D352A2"/>
    <w:rsid w:val="00D4162B"/>
    <w:rsid w:val="00D4514F"/>
    <w:rsid w:val="00D451E2"/>
    <w:rsid w:val="00D45BB5"/>
    <w:rsid w:val="00D45E89"/>
    <w:rsid w:val="00D45E8D"/>
    <w:rsid w:val="00D466AE"/>
    <w:rsid w:val="00D4734F"/>
    <w:rsid w:val="00D51BF3"/>
    <w:rsid w:val="00D5569C"/>
    <w:rsid w:val="00D56ADB"/>
    <w:rsid w:val="00D62483"/>
    <w:rsid w:val="00D63987"/>
    <w:rsid w:val="00D66846"/>
    <w:rsid w:val="00D675FB"/>
    <w:rsid w:val="00D71F25"/>
    <w:rsid w:val="00D72A9C"/>
    <w:rsid w:val="00D77031"/>
    <w:rsid w:val="00D84941"/>
    <w:rsid w:val="00D84FA1"/>
    <w:rsid w:val="00D851F0"/>
    <w:rsid w:val="00D86DB7"/>
    <w:rsid w:val="00D90DA8"/>
    <w:rsid w:val="00D926D0"/>
    <w:rsid w:val="00D93030"/>
    <w:rsid w:val="00D950E1"/>
    <w:rsid w:val="00D952A6"/>
    <w:rsid w:val="00D97F99"/>
    <w:rsid w:val="00DA1E08"/>
    <w:rsid w:val="00DA24F8"/>
    <w:rsid w:val="00DA28E8"/>
    <w:rsid w:val="00DA38D3"/>
    <w:rsid w:val="00DA3932"/>
    <w:rsid w:val="00DA3AFC"/>
    <w:rsid w:val="00DA5191"/>
    <w:rsid w:val="00DA5793"/>
    <w:rsid w:val="00DA64F8"/>
    <w:rsid w:val="00DA6C15"/>
    <w:rsid w:val="00DB0258"/>
    <w:rsid w:val="00DB38EE"/>
    <w:rsid w:val="00DB3FF0"/>
    <w:rsid w:val="00DB498B"/>
    <w:rsid w:val="00DB66CA"/>
    <w:rsid w:val="00DB6745"/>
    <w:rsid w:val="00DB6BCA"/>
    <w:rsid w:val="00DB73F7"/>
    <w:rsid w:val="00DC0321"/>
    <w:rsid w:val="00DC0844"/>
    <w:rsid w:val="00DC3067"/>
    <w:rsid w:val="00DC370B"/>
    <w:rsid w:val="00DC4736"/>
    <w:rsid w:val="00DC5B90"/>
    <w:rsid w:val="00DD00FF"/>
    <w:rsid w:val="00DD0619"/>
    <w:rsid w:val="00DD07FB"/>
    <w:rsid w:val="00DD08DD"/>
    <w:rsid w:val="00DD25C6"/>
    <w:rsid w:val="00DD4FE5"/>
    <w:rsid w:val="00DD54B0"/>
    <w:rsid w:val="00DD57EE"/>
    <w:rsid w:val="00DD6BCC"/>
    <w:rsid w:val="00DE0A4B"/>
    <w:rsid w:val="00DE2410"/>
    <w:rsid w:val="00DE2939"/>
    <w:rsid w:val="00DE594D"/>
    <w:rsid w:val="00DE6E81"/>
    <w:rsid w:val="00DE703F"/>
    <w:rsid w:val="00DE7595"/>
    <w:rsid w:val="00DF1961"/>
    <w:rsid w:val="00DF44DE"/>
    <w:rsid w:val="00DF5F11"/>
    <w:rsid w:val="00DF7B2C"/>
    <w:rsid w:val="00E01138"/>
    <w:rsid w:val="00E02DFB"/>
    <w:rsid w:val="00E030F9"/>
    <w:rsid w:val="00E0311A"/>
    <w:rsid w:val="00E03138"/>
    <w:rsid w:val="00E06404"/>
    <w:rsid w:val="00E065D2"/>
    <w:rsid w:val="00E07D36"/>
    <w:rsid w:val="00E11A85"/>
    <w:rsid w:val="00E12495"/>
    <w:rsid w:val="00E126A4"/>
    <w:rsid w:val="00E15CCD"/>
    <w:rsid w:val="00E202EF"/>
    <w:rsid w:val="00E210B5"/>
    <w:rsid w:val="00E21DA2"/>
    <w:rsid w:val="00E23D99"/>
    <w:rsid w:val="00E2552F"/>
    <w:rsid w:val="00E27F87"/>
    <w:rsid w:val="00E31029"/>
    <w:rsid w:val="00E3137A"/>
    <w:rsid w:val="00E32CCF"/>
    <w:rsid w:val="00E33E61"/>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84D"/>
    <w:rsid w:val="00E60C63"/>
    <w:rsid w:val="00E62FF9"/>
    <w:rsid w:val="00E635D6"/>
    <w:rsid w:val="00E639BC"/>
    <w:rsid w:val="00E64EE7"/>
    <w:rsid w:val="00E664CC"/>
    <w:rsid w:val="00E70388"/>
    <w:rsid w:val="00E707CB"/>
    <w:rsid w:val="00E70F92"/>
    <w:rsid w:val="00E73E0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3EB"/>
    <w:rsid w:val="00E969D5"/>
    <w:rsid w:val="00EA1052"/>
    <w:rsid w:val="00EA58D1"/>
    <w:rsid w:val="00EA61BC"/>
    <w:rsid w:val="00EA681A"/>
    <w:rsid w:val="00EA735B"/>
    <w:rsid w:val="00EB17DE"/>
    <w:rsid w:val="00EB1E69"/>
    <w:rsid w:val="00EB2086"/>
    <w:rsid w:val="00EB53D7"/>
    <w:rsid w:val="00EB5EDF"/>
    <w:rsid w:val="00EB60FE"/>
    <w:rsid w:val="00EB74DB"/>
    <w:rsid w:val="00EC1775"/>
    <w:rsid w:val="00EC5359"/>
    <w:rsid w:val="00EC562A"/>
    <w:rsid w:val="00EC779F"/>
    <w:rsid w:val="00EC7C63"/>
    <w:rsid w:val="00ED067A"/>
    <w:rsid w:val="00ED0ABD"/>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050"/>
    <w:rsid w:val="00F12263"/>
    <w:rsid w:val="00F1409D"/>
    <w:rsid w:val="00F14214"/>
    <w:rsid w:val="00F157A9"/>
    <w:rsid w:val="00F20645"/>
    <w:rsid w:val="00F25BB6"/>
    <w:rsid w:val="00F26B7E"/>
    <w:rsid w:val="00F27867"/>
    <w:rsid w:val="00F27A3B"/>
    <w:rsid w:val="00F329CA"/>
    <w:rsid w:val="00F33817"/>
    <w:rsid w:val="00F375F2"/>
    <w:rsid w:val="00F420D5"/>
    <w:rsid w:val="00F42735"/>
    <w:rsid w:val="00F451EA"/>
    <w:rsid w:val="00F45447"/>
    <w:rsid w:val="00F456C6"/>
    <w:rsid w:val="00F4577B"/>
    <w:rsid w:val="00F46496"/>
    <w:rsid w:val="00F474D0"/>
    <w:rsid w:val="00F50179"/>
    <w:rsid w:val="00F515EE"/>
    <w:rsid w:val="00F55725"/>
    <w:rsid w:val="00F56511"/>
    <w:rsid w:val="00F575FC"/>
    <w:rsid w:val="00F6194E"/>
    <w:rsid w:val="00F623AC"/>
    <w:rsid w:val="00F6412A"/>
    <w:rsid w:val="00F65893"/>
    <w:rsid w:val="00F66A4A"/>
    <w:rsid w:val="00F67383"/>
    <w:rsid w:val="00F71A5B"/>
    <w:rsid w:val="00F71E22"/>
    <w:rsid w:val="00F72142"/>
    <w:rsid w:val="00F72AE7"/>
    <w:rsid w:val="00F75F4B"/>
    <w:rsid w:val="00F81141"/>
    <w:rsid w:val="00F81773"/>
    <w:rsid w:val="00F81DA0"/>
    <w:rsid w:val="00F833BA"/>
    <w:rsid w:val="00F84EA7"/>
    <w:rsid w:val="00F84FD0"/>
    <w:rsid w:val="00F859A8"/>
    <w:rsid w:val="00F86D87"/>
    <w:rsid w:val="00F90D64"/>
    <w:rsid w:val="00F9108B"/>
    <w:rsid w:val="00F91349"/>
    <w:rsid w:val="00F93A8A"/>
    <w:rsid w:val="00F95248"/>
    <w:rsid w:val="00F956A9"/>
    <w:rsid w:val="00F963ED"/>
    <w:rsid w:val="00F966CF"/>
    <w:rsid w:val="00F96CAE"/>
    <w:rsid w:val="00F97C99"/>
    <w:rsid w:val="00FA08B0"/>
    <w:rsid w:val="00FA1985"/>
    <w:rsid w:val="00FA4DAC"/>
    <w:rsid w:val="00FA662D"/>
    <w:rsid w:val="00FA73B1"/>
    <w:rsid w:val="00FB0CB9"/>
    <w:rsid w:val="00FB0F41"/>
    <w:rsid w:val="00FB231D"/>
    <w:rsid w:val="00FB3514"/>
    <w:rsid w:val="00FB45F1"/>
    <w:rsid w:val="00FB4A72"/>
    <w:rsid w:val="00FB54E8"/>
    <w:rsid w:val="00FB7054"/>
    <w:rsid w:val="00FC17B7"/>
    <w:rsid w:val="00FC2CB7"/>
    <w:rsid w:val="00FC4090"/>
    <w:rsid w:val="00FC55B4"/>
    <w:rsid w:val="00FC6ED0"/>
    <w:rsid w:val="00FD00E6"/>
    <w:rsid w:val="00FD09A1"/>
    <w:rsid w:val="00FD10FD"/>
    <w:rsid w:val="00FD1BE7"/>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ED60CD"/>
    <w:rsid w:val="03F44678"/>
    <w:rsid w:val="132012DF"/>
    <w:rsid w:val="144B6E43"/>
    <w:rsid w:val="21DB7FEF"/>
    <w:rsid w:val="21F816E9"/>
    <w:rsid w:val="24113B74"/>
    <w:rsid w:val="243F07C0"/>
    <w:rsid w:val="2D7B7A0C"/>
    <w:rsid w:val="2D844A83"/>
    <w:rsid w:val="30BF36CE"/>
    <w:rsid w:val="32672402"/>
    <w:rsid w:val="32875877"/>
    <w:rsid w:val="3D1E5C80"/>
    <w:rsid w:val="544E4259"/>
    <w:rsid w:val="59516309"/>
    <w:rsid w:val="5CDE3DC5"/>
    <w:rsid w:val="6251716B"/>
    <w:rsid w:val="62DD5D7E"/>
    <w:rsid w:val="64155BDB"/>
    <w:rsid w:val="6C1F2DC2"/>
    <w:rsid w:val="6EAE5472"/>
    <w:rsid w:val="715E33FB"/>
    <w:rsid w:val="739D7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left="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link w:val="23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段 Char"/>
    <w:link w:val="230"/>
    <w:qFormat/>
    <w:uiPriority w:val="0"/>
    <w:rPr>
      <w:rFonts w:ascii="宋体" w:hAnsi="Times New Roman"/>
      <w:sz w:val="21"/>
    </w:rPr>
  </w:style>
  <w:style w:type="paragraph" w:customStyle="1" w:styleId="232">
    <w:name w:val="章标题"/>
    <w:next w:val="230"/>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3">
    <w:name w:val="一级无"/>
    <w:basedOn w:val="1"/>
    <w:qFormat/>
    <w:uiPriority w:val="0"/>
    <w:pPr>
      <w:widowControl/>
      <w:adjustRightInd/>
      <w:spacing w:line="240" w:lineRule="auto"/>
      <w:jc w:val="left"/>
      <w:outlineLvl w:val="2"/>
    </w:pPr>
    <w:rPr>
      <w:rFonts w:ascii="宋体" w:hAnsi="Times New Roman"/>
      <w:kern w:val="0"/>
    </w:rPr>
  </w:style>
  <w:style w:type="paragraph" w:customStyle="1" w:styleId="234">
    <w:name w:val="字母编号列项（一级）"/>
    <w:qFormat/>
    <w:uiPriority w:val="0"/>
    <w:pPr>
      <w:tabs>
        <w:tab w:val="left" w:pos="840"/>
      </w:tabs>
      <w:ind w:left="839" w:hanging="419"/>
      <w:jc w:val="both"/>
    </w:pPr>
    <w:rPr>
      <w:rFonts w:ascii="宋体" w:hAnsi="Times New Roman" w:eastAsia="宋体" w:cs="Times New Roman"/>
      <w:sz w:val="21"/>
      <w:lang w:val="en-US" w:eastAsia="zh-CN" w:bidi="ar-SA"/>
    </w:rPr>
  </w:style>
  <w:style w:type="paragraph" w:customStyle="1" w:styleId="235">
    <w:name w:val="四级条标题"/>
    <w:basedOn w:val="236"/>
    <w:next w:val="230"/>
    <w:qFormat/>
    <w:uiPriority w:val="0"/>
    <w:pPr>
      <w:numPr>
        <w:ilvl w:val="4"/>
      </w:numPr>
      <w:outlineLvl w:val="5"/>
    </w:pPr>
  </w:style>
  <w:style w:type="paragraph" w:customStyle="1" w:styleId="236">
    <w:name w:val="三级条标题"/>
    <w:basedOn w:val="237"/>
    <w:next w:val="230"/>
    <w:qFormat/>
    <w:uiPriority w:val="0"/>
    <w:pPr>
      <w:numPr>
        <w:ilvl w:val="3"/>
      </w:numPr>
      <w:outlineLvl w:val="4"/>
    </w:pPr>
  </w:style>
  <w:style w:type="paragraph" w:customStyle="1" w:styleId="237">
    <w:name w:val="二级条标题"/>
    <w:basedOn w:val="1"/>
    <w:next w:val="230"/>
    <w:qFormat/>
    <w:uiPriority w:val="0"/>
    <w:pPr>
      <w:widowControl/>
      <w:numPr>
        <w:ilvl w:val="2"/>
        <w:numId w:val="32"/>
      </w:numPr>
      <w:adjustRightInd/>
      <w:spacing w:before="50" w:beforeLines="50" w:after="50" w:afterLines="50" w:line="240" w:lineRule="auto"/>
      <w:jc w:val="left"/>
      <w:outlineLvl w:val="3"/>
    </w:pPr>
    <w:rPr>
      <w:rFonts w:ascii="黑体" w:hAnsi="Times New Roman" w:eastAsia="黑体"/>
      <w:kern w:val="0"/>
    </w:rPr>
  </w:style>
  <w:style w:type="paragraph" w:customStyle="1" w:styleId="238">
    <w:name w:val="数字编号列项（二级）"/>
    <w:qFormat/>
    <w:uiPriority w:val="0"/>
    <w:pPr>
      <w:tabs>
        <w:tab w:val="left" w:pos="840"/>
        <w:tab w:val="left" w:pos="1260"/>
      </w:tabs>
      <w:ind w:left="1259" w:hanging="419"/>
      <w:jc w:val="both"/>
    </w:pPr>
    <w:rPr>
      <w:rFonts w:ascii="宋体" w:hAnsi="Times New Roman" w:eastAsia="宋体" w:cs="Times New Roman"/>
      <w:sz w:val="21"/>
      <w:lang w:val="en-US" w:eastAsia="zh-CN" w:bidi="ar-SA"/>
    </w:rPr>
  </w:style>
  <w:style w:type="paragraph" w:customStyle="1" w:styleId="239">
    <w:name w:val="二级无"/>
    <w:basedOn w:val="237"/>
    <w:qFormat/>
    <w:uiPriority w:val="0"/>
    <w:pPr>
      <w:spacing w:before="0" w:beforeLines="0" w:after="0" w:afterLines="0"/>
    </w:pPr>
    <w:rPr>
      <w:rFonts w:ascii="宋体" w:eastAsia="宋体"/>
    </w:rPr>
  </w:style>
  <w:style w:type="paragraph" w:customStyle="1" w:styleId="240">
    <w:name w:val="编号列项（三级）"/>
    <w:qFormat/>
    <w:uiPriority w:val="0"/>
    <w:pPr>
      <w:tabs>
        <w:tab w:val="left" w:pos="0"/>
      </w:tabs>
      <w:ind w:left="1679" w:hanging="420"/>
    </w:pPr>
    <w:rPr>
      <w:rFonts w:ascii="宋体" w:hAnsi="Times New Roman" w:eastAsia="宋体" w:cs="Times New Roman"/>
      <w:sz w:val="21"/>
      <w:lang w:val="en-US" w:eastAsia="zh-CN" w:bidi="ar-SA"/>
    </w:rPr>
  </w:style>
  <w:style w:type="paragraph" w:customStyle="1" w:styleId="241">
    <w:name w:val="五级条标题"/>
    <w:basedOn w:val="235"/>
    <w:next w:val="230"/>
    <w:qFormat/>
    <w:uiPriority w:val="0"/>
    <w:pPr>
      <w:numPr>
        <w:ilvl w:val="5"/>
      </w:numPr>
      <w:outlineLvl w:val="6"/>
    </w:pPr>
  </w:style>
  <w:style w:type="paragraph" w:customStyle="1" w:styleId="242">
    <w:name w:val="正文1"/>
    <w:qFormat/>
    <w:uiPriority w:val="0"/>
    <w:pPr>
      <w:jc w:val="both"/>
    </w:pPr>
    <w:rPr>
      <w:rFonts w:ascii="Calibri" w:hAnsi="Calibri" w:eastAsia="宋体" w:cs="宋体"/>
      <w:kern w:val="2"/>
      <w:sz w:val="21"/>
      <w:szCs w:val="21"/>
      <w:lang w:val="en-US" w:eastAsia="zh-CN" w:bidi="ar-SA"/>
    </w:rPr>
  </w:style>
  <w:style w:type="paragraph" w:customStyle="1" w:styleId="243">
    <w:name w:val="Table Text"/>
    <w:basedOn w:val="1"/>
    <w:semiHidden/>
    <w:qFormat/>
    <w:uiPriority w:val="0"/>
    <w:rPr>
      <w:rFonts w:ascii="宋体" w:hAnsi="宋体" w:cs="宋体"/>
      <w:sz w:val="18"/>
      <w:szCs w:val="18"/>
      <w:lang w:eastAsia="en-US"/>
    </w:rPr>
  </w:style>
  <w:style w:type="table" w:customStyle="1" w:styleId="2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56746661FE4D148254328BD864EB57"/>
        <w:style w:val=""/>
        <w:category>
          <w:name w:val="常规"/>
          <w:gallery w:val="placeholder"/>
        </w:category>
        <w:types>
          <w:type w:val="bbPlcHdr"/>
        </w:types>
        <w:behaviors>
          <w:behavior w:val="content"/>
        </w:behaviors>
        <w:description w:val=""/>
        <w:guid w:val="{C362404F-29D9-4A3D-97A9-E14FA7DEB4FF}"/>
      </w:docPartPr>
      <w:docPartBody>
        <w:p>
          <w:pPr>
            <w:pStyle w:val="5"/>
          </w:pPr>
          <w:r>
            <w:rPr>
              <w:rStyle w:val="4"/>
              <w:rFonts w:hint="eastAsia"/>
            </w:rPr>
            <w:t>单击或点击此处输入文字。</w:t>
          </w:r>
        </w:p>
      </w:docPartBody>
    </w:docPart>
    <w:docPart>
      <w:docPartPr>
        <w:name w:val="7158C80FFE2B461BBF83DF9781D6CF0A"/>
        <w:style w:val=""/>
        <w:category>
          <w:name w:val="常规"/>
          <w:gallery w:val="placeholder"/>
        </w:category>
        <w:types>
          <w:type w:val="bbPlcHdr"/>
        </w:types>
        <w:behaviors>
          <w:behavior w:val="content"/>
        </w:behaviors>
        <w:description w:val=""/>
        <w:guid w:val="{7414D82F-1714-4AF8-8407-2327499BB876}"/>
      </w:docPartPr>
      <w:docPartBody>
        <w:p>
          <w:pPr>
            <w:pStyle w:val="6"/>
          </w:pPr>
          <w:r>
            <w:rPr>
              <w:rStyle w:val="4"/>
              <w:rFonts w:hint="eastAsia"/>
            </w:rPr>
            <w:t>选择一项。</w:t>
          </w:r>
        </w:p>
      </w:docPartBody>
    </w:docPart>
    <w:docPart>
      <w:docPartPr>
        <w:name w:val="EB9F5340E6DF4AED9AA322F70387A8B2"/>
        <w:style w:val=""/>
        <w:category>
          <w:name w:val="常规"/>
          <w:gallery w:val="placeholder"/>
        </w:category>
        <w:types>
          <w:type w:val="bbPlcHdr"/>
        </w:types>
        <w:behaviors>
          <w:behavior w:val="content"/>
        </w:behaviors>
        <w:description w:val=""/>
        <w:guid w:val="{759144E1-2345-4549-A340-73124F1E7F2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9A4"/>
    <w:rsid w:val="0000703E"/>
    <w:rsid w:val="00046BFD"/>
    <w:rsid w:val="000709A4"/>
    <w:rsid w:val="000C46D1"/>
    <w:rsid w:val="000D3799"/>
    <w:rsid w:val="00122717"/>
    <w:rsid w:val="00165251"/>
    <w:rsid w:val="00185C30"/>
    <w:rsid w:val="001F660C"/>
    <w:rsid w:val="002A1826"/>
    <w:rsid w:val="003031BA"/>
    <w:rsid w:val="00312536"/>
    <w:rsid w:val="004F5175"/>
    <w:rsid w:val="00536DA0"/>
    <w:rsid w:val="005375F5"/>
    <w:rsid w:val="00551E84"/>
    <w:rsid w:val="00582615"/>
    <w:rsid w:val="00600965"/>
    <w:rsid w:val="006314FC"/>
    <w:rsid w:val="006316EC"/>
    <w:rsid w:val="00691237"/>
    <w:rsid w:val="006F5309"/>
    <w:rsid w:val="00727823"/>
    <w:rsid w:val="00730543"/>
    <w:rsid w:val="00787658"/>
    <w:rsid w:val="00812601"/>
    <w:rsid w:val="00851416"/>
    <w:rsid w:val="00985C56"/>
    <w:rsid w:val="009A2F2C"/>
    <w:rsid w:val="00A152EE"/>
    <w:rsid w:val="00A47A3C"/>
    <w:rsid w:val="00A87EC2"/>
    <w:rsid w:val="00AC2FEE"/>
    <w:rsid w:val="00AC6149"/>
    <w:rsid w:val="00B17692"/>
    <w:rsid w:val="00B94CD2"/>
    <w:rsid w:val="00BB1BC9"/>
    <w:rsid w:val="00C15D6C"/>
    <w:rsid w:val="00C20F07"/>
    <w:rsid w:val="00D06686"/>
    <w:rsid w:val="00D46B62"/>
    <w:rsid w:val="00D96410"/>
    <w:rsid w:val="00DA4E3A"/>
    <w:rsid w:val="00EE1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956746661FE4D148254328BD864EB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158C80FFE2B461BBF83DF9781D6CF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B9F5340E6DF4AED9AA322F70387A8B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9500A-D7A9-40ED-8F74-E3B088F683A7}">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Pages>
  <Words>5914</Words>
  <Characters>33712</Characters>
  <Lines>280</Lines>
  <Paragraphs>79</Paragraphs>
  <TotalTime>181</TotalTime>
  <ScaleCrop>false</ScaleCrop>
  <LinksUpToDate>false</LinksUpToDate>
  <CharactersWithSpaces>39547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2023-07-20T02:21:00Z</dcterms:created>
  <dc:creator>杨丽君</dc:creator>
  <dc:description>&lt;config cover="true" show_menu="true" version="1.0.0" doctype="SDKXY"&gt;_x000d_
&lt;/config&gt;</dc:description>
  <cp:lastModifiedBy>林娇</cp:lastModifiedBy>
  <cp:lastPrinted>2023-08-14T08:54:00Z</cp:lastPrinted>
  <dcterms:modified xsi:type="dcterms:W3CDTF">2025-07-11T02:02:34Z</dcterms:modified>
  <dc:title>地方标准</dc:title>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2052-11.8.2.10229</vt:lpwstr>
  </property>
  <property fmtid="{D5CDD505-2E9C-101B-9397-08002B2CF9AE}" pid="15" name="ICV">
    <vt:lpwstr>79565934594A4206B118DE0B71A2B2AB_13</vt:lpwstr>
  </property>
</Properties>
</file>