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outlineLvl w:val="0"/>
        <w:rPr>
          <w:rFonts w:hint="eastAsia" w:asciiTheme="minorEastAsia" w:hAnsiTheme="minorEastAsia" w:eastAsiaTheme="minorEastAsia"/>
          <w:b/>
          <w:bCs/>
          <w:color w:val="auto"/>
          <w:sz w:val="44"/>
          <w:szCs w:val="44"/>
          <w:highlight w:val="none"/>
          <w:lang w:val="en-US" w:eastAsia="zh-CN"/>
        </w:rPr>
      </w:pPr>
    </w:p>
    <w:p>
      <w:pPr>
        <w:spacing w:line="360" w:lineRule="auto"/>
        <w:ind w:firstLine="880" w:firstLineChars="200"/>
        <w:jc w:val="center"/>
        <w:outlineLvl w:val="0"/>
        <w:rPr>
          <w:rFonts w:hint="eastAsia" w:asciiTheme="minorEastAsia" w:hAnsiTheme="minorEastAsia" w:eastAsiaTheme="minorEastAsia"/>
          <w:b/>
          <w:bCs/>
          <w:color w:val="auto"/>
          <w:sz w:val="44"/>
          <w:szCs w:val="44"/>
          <w:highlight w:val="none"/>
          <w:lang w:val="en-US" w:eastAsia="zh-CN"/>
        </w:rPr>
      </w:pPr>
    </w:p>
    <w:p>
      <w:pPr>
        <w:spacing w:line="720" w:lineRule="auto"/>
        <w:jc w:val="center"/>
        <w:outlineLvl w:val="0"/>
        <w:rPr>
          <w:rFonts w:hint="eastAsia" w:ascii="宋体" w:hAnsi="宋体" w:eastAsia="宋体" w:cs="宋体"/>
          <w:b w:val="0"/>
          <w:bCs w:val="0"/>
          <w:color w:val="auto"/>
          <w:sz w:val="52"/>
          <w:szCs w:val="52"/>
          <w:highlight w:val="none"/>
        </w:rPr>
      </w:pPr>
      <w:r>
        <w:rPr>
          <w:rFonts w:hint="eastAsia" w:ascii="宋体" w:hAnsi="宋体" w:eastAsia="宋体" w:cs="宋体"/>
          <w:b w:val="0"/>
          <w:bCs w:val="0"/>
          <w:color w:val="auto"/>
          <w:sz w:val="52"/>
          <w:szCs w:val="52"/>
          <w:highlight w:val="none"/>
          <w:lang w:val="en-US" w:eastAsia="zh-CN"/>
        </w:rPr>
        <w:t>湛江地方</w:t>
      </w:r>
      <w:r>
        <w:rPr>
          <w:rFonts w:hint="eastAsia" w:ascii="宋体" w:hAnsi="宋体" w:eastAsia="宋体" w:cs="宋体"/>
          <w:b w:val="0"/>
          <w:bCs w:val="0"/>
          <w:color w:val="auto"/>
          <w:sz w:val="52"/>
          <w:szCs w:val="52"/>
          <w:highlight w:val="none"/>
        </w:rPr>
        <w:t>标准</w:t>
      </w:r>
    </w:p>
    <w:p>
      <w:pPr>
        <w:spacing w:line="720" w:lineRule="auto"/>
        <w:ind w:firstLine="1044" w:firstLineChars="200"/>
        <w:jc w:val="center"/>
        <w:outlineLvl w:val="0"/>
        <w:rPr>
          <w:rFonts w:hint="eastAsia" w:ascii="宋体" w:hAnsi="宋体" w:eastAsia="宋体" w:cs="宋体"/>
          <w:b/>
          <w:bCs/>
          <w:color w:val="auto"/>
          <w:sz w:val="52"/>
          <w:szCs w:val="52"/>
          <w:highlight w:val="none"/>
        </w:rPr>
      </w:pPr>
    </w:p>
    <w:p>
      <w:pPr>
        <w:spacing w:line="240" w:lineRule="auto"/>
        <w:jc w:val="center"/>
        <w:outlineLvl w:val="0"/>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《军曹鱼深远海平台养殖技术规程</w:t>
      </w:r>
      <w:r>
        <w:rPr>
          <w:rFonts w:hint="eastAsia" w:cs="宋体"/>
          <w:b/>
          <w:bCs/>
          <w:color w:val="auto"/>
          <w:sz w:val="44"/>
          <w:szCs w:val="44"/>
          <w:highlight w:val="none"/>
          <w:lang w:eastAsia="zh-CN"/>
        </w:rPr>
        <w:t>（</w:t>
      </w:r>
      <w:r>
        <w:rPr>
          <w:rFonts w:hint="eastAsia" w:cs="宋体"/>
          <w:b/>
          <w:bCs/>
          <w:color w:val="auto"/>
          <w:sz w:val="44"/>
          <w:szCs w:val="44"/>
          <w:highlight w:val="none"/>
          <w:lang w:val="en-US" w:eastAsia="zh-CN"/>
        </w:rPr>
        <w:t>征求意见稿</w:t>
      </w:r>
      <w:r>
        <w:rPr>
          <w:rFonts w:hint="eastAsia" w:cs="宋体"/>
          <w:b/>
          <w:bCs/>
          <w:color w:val="auto"/>
          <w:sz w:val="44"/>
          <w:szCs w:val="44"/>
          <w:highlight w:val="none"/>
          <w:lang w:eastAsia="zh-CN"/>
        </w:rPr>
        <w:t>）</w:t>
      </w:r>
      <w:r>
        <w:rPr>
          <w:rFonts w:hint="eastAsia" w:ascii="宋体" w:hAnsi="宋体" w:eastAsia="宋体" w:cs="宋体"/>
          <w:b/>
          <w:bCs/>
          <w:color w:val="auto"/>
          <w:sz w:val="44"/>
          <w:szCs w:val="44"/>
          <w:highlight w:val="none"/>
        </w:rPr>
        <w:t>》</w:t>
      </w:r>
    </w:p>
    <w:p>
      <w:pPr>
        <w:spacing w:line="240" w:lineRule="auto"/>
        <w:jc w:val="center"/>
        <w:outlineLvl w:val="0"/>
        <w:rPr>
          <w:rFonts w:hint="eastAsia" w:ascii="宋体" w:hAnsi="宋体" w:eastAsia="宋体" w:cs="宋体"/>
          <w:b/>
          <w:bCs/>
          <w:color w:val="auto"/>
          <w:sz w:val="44"/>
          <w:szCs w:val="44"/>
          <w:highlight w:val="none"/>
        </w:rPr>
      </w:pPr>
    </w:p>
    <w:p>
      <w:pPr>
        <w:spacing w:line="240" w:lineRule="auto"/>
        <w:jc w:val="both"/>
        <w:outlineLvl w:val="0"/>
        <w:rPr>
          <w:rFonts w:hint="eastAsia" w:ascii="宋体" w:hAnsi="宋体" w:eastAsia="宋体" w:cs="宋体"/>
          <w:b w:val="0"/>
          <w:bCs w:val="0"/>
          <w:color w:val="auto"/>
          <w:sz w:val="52"/>
          <w:szCs w:val="52"/>
          <w:highlight w:val="none"/>
        </w:rPr>
      </w:pPr>
    </w:p>
    <w:p>
      <w:pPr>
        <w:spacing w:line="240" w:lineRule="auto"/>
        <w:jc w:val="center"/>
        <w:outlineLvl w:val="0"/>
        <w:rPr>
          <w:rFonts w:hint="eastAsia" w:ascii="宋体" w:hAnsi="宋体" w:eastAsia="宋体" w:cs="宋体"/>
          <w:b w:val="0"/>
          <w:bCs w:val="0"/>
          <w:color w:val="auto"/>
          <w:sz w:val="52"/>
          <w:szCs w:val="52"/>
          <w:highlight w:val="none"/>
        </w:rPr>
      </w:pPr>
      <w:r>
        <w:rPr>
          <w:rFonts w:hint="eastAsia" w:ascii="宋体" w:hAnsi="宋体" w:eastAsia="宋体" w:cs="宋体"/>
          <w:b w:val="0"/>
          <w:bCs w:val="0"/>
          <w:color w:val="auto"/>
          <w:sz w:val="52"/>
          <w:szCs w:val="52"/>
          <w:highlight w:val="none"/>
        </w:rPr>
        <w:t>编制说明</w:t>
      </w:r>
    </w:p>
    <w:p>
      <w:pPr>
        <w:spacing w:line="720" w:lineRule="auto"/>
        <w:jc w:val="center"/>
        <w:outlineLvl w:val="0"/>
        <w:rPr>
          <w:rFonts w:hint="eastAsia" w:ascii="宋体" w:hAnsi="宋体" w:eastAsia="宋体" w:cs="宋体"/>
          <w:b/>
          <w:bCs/>
          <w:color w:val="auto"/>
          <w:sz w:val="44"/>
          <w:szCs w:val="44"/>
          <w:highlight w:val="none"/>
        </w:rPr>
      </w:pPr>
    </w:p>
    <w:p>
      <w:pPr>
        <w:spacing w:line="720" w:lineRule="auto"/>
        <w:jc w:val="center"/>
        <w:outlineLvl w:val="0"/>
        <w:rPr>
          <w:rFonts w:hint="eastAsia" w:ascii="宋体" w:hAnsi="宋体" w:eastAsia="宋体" w:cs="宋体"/>
          <w:b/>
          <w:bCs/>
          <w:color w:val="auto"/>
          <w:sz w:val="44"/>
          <w:szCs w:val="44"/>
          <w:highlight w:val="none"/>
        </w:rPr>
      </w:pPr>
    </w:p>
    <w:p>
      <w:pPr>
        <w:spacing w:line="720" w:lineRule="auto"/>
        <w:jc w:val="center"/>
        <w:outlineLvl w:val="0"/>
        <w:rPr>
          <w:rFonts w:hint="eastAsia" w:ascii="宋体" w:hAnsi="宋体" w:eastAsia="宋体" w:cs="宋体"/>
          <w:b/>
          <w:bCs/>
          <w:color w:val="auto"/>
          <w:sz w:val="44"/>
          <w:szCs w:val="44"/>
          <w:highlight w:val="none"/>
        </w:rPr>
      </w:pPr>
    </w:p>
    <w:p>
      <w:pPr>
        <w:spacing w:line="720" w:lineRule="auto"/>
        <w:jc w:val="center"/>
        <w:outlineLvl w:val="0"/>
        <w:rPr>
          <w:rFonts w:hint="eastAsia" w:ascii="宋体" w:hAnsi="宋体" w:eastAsia="宋体" w:cs="宋体"/>
          <w:b/>
          <w:bCs/>
          <w:color w:val="auto"/>
          <w:sz w:val="44"/>
          <w:szCs w:val="44"/>
          <w:highlight w:val="none"/>
        </w:rPr>
      </w:pPr>
    </w:p>
    <w:p>
      <w:pPr>
        <w:spacing w:line="720" w:lineRule="auto"/>
        <w:jc w:val="center"/>
        <w:outlineLvl w:val="0"/>
        <w:rPr>
          <w:rFonts w:hint="eastAsia" w:ascii="宋体" w:hAnsi="宋体" w:eastAsia="宋体" w:cs="宋体"/>
          <w:b/>
          <w:bCs/>
          <w:color w:val="auto"/>
          <w:sz w:val="44"/>
          <w:szCs w:val="44"/>
          <w:highlight w:val="none"/>
        </w:rPr>
      </w:pPr>
    </w:p>
    <w:p>
      <w:pPr>
        <w:spacing w:line="720" w:lineRule="auto"/>
        <w:jc w:val="center"/>
        <w:outlineLvl w:val="0"/>
        <w:rPr>
          <w:rFonts w:hint="eastAsia" w:cs="宋体"/>
          <w:b w:val="0"/>
          <w:bCs w:val="0"/>
          <w:color w:val="auto"/>
          <w:sz w:val="32"/>
          <w:szCs w:val="32"/>
          <w:highlight w:val="none"/>
          <w:lang w:val="en-US" w:eastAsia="zh-CN"/>
        </w:rPr>
      </w:pPr>
      <w:r>
        <w:rPr>
          <w:rFonts w:hint="eastAsia" w:cs="宋体"/>
          <w:b w:val="0"/>
          <w:bCs w:val="0"/>
          <w:color w:val="auto"/>
          <w:sz w:val="32"/>
          <w:szCs w:val="32"/>
          <w:highlight w:val="none"/>
          <w:lang w:val="en-US" w:eastAsia="zh-CN"/>
        </w:rPr>
        <w:t>标准起草组</w:t>
      </w:r>
    </w:p>
    <w:p>
      <w:pPr>
        <w:spacing w:line="720" w:lineRule="auto"/>
        <w:jc w:val="center"/>
        <w:outlineLvl w:val="0"/>
        <w:rPr>
          <w:rFonts w:hint="default" w:cs="宋体"/>
          <w:b w:val="0"/>
          <w:bCs w:val="0"/>
          <w:color w:val="auto"/>
          <w:sz w:val="32"/>
          <w:szCs w:val="32"/>
          <w:highlight w:val="none"/>
          <w:lang w:val="en-US" w:eastAsia="zh-CN"/>
        </w:rPr>
      </w:pPr>
      <w:r>
        <w:rPr>
          <w:rFonts w:hint="eastAsia" w:cs="宋体"/>
          <w:b w:val="0"/>
          <w:bCs w:val="0"/>
          <w:color w:val="auto"/>
          <w:sz w:val="32"/>
          <w:szCs w:val="32"/>
          <w:highlight w:val="none"/>
          <w:lang w:val="en-US" w:eastAsia="zh-CN"/>
        </w:rPr>
        <w:t>2025年6月</w:t>
      </w:r>
    </w:p>
    <w:p>
      <w:pPr>
        <w:spacing w:line="720" w:lineRule="auto"/>
        <w:ind w:firstLine="883" w:firstLineChars="200"/>
        <w:jc w:val="center"/>
        <w:outlineLvl w:val="0"/>
        <w:rPr>
          <w:rFonts w:hint="eastAsia" w:ascii="宋体" w:hAnsi="宋体" w:eastAsia="宋体" w:cs="宋体"/>
          <w:b/>
          <w:bCs/>
          <w:color w:val="auto"/>
          <w:sz w:val="44"/>
          <w:szCs w:val="44"/>
          <w:highlight w:val="none"/>
        </w:rPr>
      </w:pPr>
    </w:p>
    <w:p>
      <w:pPr>
        <w:pStyle w:val="19"/>
        <w:widowControl w:val="0"/>
        <w:numPr>
          <w:ilvl w:val="0"/>
          <w:numId w:val="0"/>
        </w:numPr>
        <w:spacing w:before="156" w:beforeLines="50" w:after="156" w:afterLines="50" w:line="360" w:lineRule="auto"/>
        <w:ind w:leftChars="0"/>
        <w:jc w:val="both"/>
        <w:outlineLvl w:val="0"/>
        <w:rPr>
          <w:rFonts w:hint="eastAsia" w:ascii="宋体" w:hAnsi="宋体" w:eastAsia="宋体" w:cs="宋体"/>
          <w:b/>
          <w:color w:val="auto"/>
          <w:kern w:val="2"/>
          <w:highlight w:val="none"/>
        </w:rPr>
      </w:pPr>
      <w:bookmarkStart w:id="0" w:name="_Hlk133177119"/>
      <w:r>
        <w:rPr>
          <w:rFonts w:hint="eastAsia" w:ascii="宋体" w:hAnsi="宋体" w:eastAsia="宋体" w:cs="宋体"/>
          <w:b/>
          <w:color w:val="auto"/>
          <w:kern w:val="2"/>
          <w:highlight w:val="none"/>
          <w:lang w:val="en-US" w:eastAsia="zh-CN"/>
        </w:rPr>
        <w:t>一、</w:t>
      </w:r>
      <w:r>
        <w:rPr>
          <w:rFonts w:hint="eastAsia" w:ascii="宋体" w:hAnsi="宋体" w:eastAsia="宋体" w:cs="宋体"/>
          <w:b/>
          <w:color w:val="auto"/>
          <w:kern w:val="2"/>
          <w:highlight w:val="none"/>
        </w:rPr>
        <w:t>工作简况，包括任务来源、制定背景、起草过程等</w:t>
      </w:r>
    </w:p>
    <w:bookmarkEnd w:id="0"/>
    <w:p>
      <w:pPr>
        <w:pStyle w:val="19"/>
        <w:widowControl w:val="0"/>
        <w:numPr>
          <w:ilvl w:val="0"/>
          <w:numId w:val="0"/>
        </w:numPr>
        <w:spacing w:line="360" w:lineRule="auto"/>
        <w:jc w:val="both"/>
        <w:rPr>
          <w:rFonts w:hint="eastAsia" w:cs="Times New Roman"/>
          <w:b/>
          <w:color w:val="auto"/>
          <w:kern w:val="2"/>
          <w:highlight w:val="none"/>
        </w:rPr>
      </w:pPr>
      <w:bookmarkStart w:id="1" w:name="_Hlk133177158"/>
      <w:r>
        <w:rPr>
          <w:rFonts w:hint="eastAsia" w:cs="Times New Roman"/>
          <w:b/>
          <w:color w:val="auto"/>
          <w:kern w:val="2"/>
          <w:highlight w:val="none"/>
          <w:lang w:eastAsia="zh-CN"/>
        </w:rPr>
        <w:t>（</w:t>
      </w:r>
      <w:r>
        <w:rPr>
          <w:rFonts w:hint="eastAsia" w:cs="Times New Roman"/>
          <w:b/>
          <w:color w:val="auto"/>
          <w:kern w:val="2"/>
          <w:highlight w:val="none"/>
          <w:lang w:val="en-US" w:eastAsia="zh-CN"/>
        </w:rPr>
        <w:t>一）</w:t>
      </w:r>
      <w:r>
        <w:rPr>
          <w:rFonts w:hint="eastAsia" w:cs="Times New Roman"/>
          <w:b/>
          <w:color w:val="auto"/>
          <w:kern w:val="2"/>
          <w:highlight w:val="none"/>
        </w:rPr>
        <w:t>任务来源</w:t>
      </w:r>
    </w:p>
    <w:p>
      <w:pPr>
        <w:spacing w:beforeLines="0" w:afterLines="0" w:line="360" w:lineRule="auto"/>
        <w:ind w:firstLine="480" w:firstLineChars="200"/>
        <w:jc w:val="left"/>
        <w:rPr>
          <w:rFonts w:hint="eastAsia" w:cs="Times New Roman"/>
          <w:color w:val="auto"/>
          <w:highlight w:val="none"/>
          <w:lang w:val="en-US" w:eastAsia="zh-CN"/>
        </w:rPr>
      </w:pPr>
      <w:r>
        <w:rPr>
          <w:rFonts w:cs="Times New Roman"/>
          <w:color w:val="auto"/>
          <w:highlight w:val="none"/>
        </w:rPr>
        <w:t>《</w:t>
      </w:r>
      <w:r>
        <w:rPr>
          <w:rFonts w:hint="eastAsia" w:cs="Times New Roman"/>
          <w:color w:val="auto"/>
          <w:highlight w:val="none"/>
          <w:lang w:eastAsia="zh-CN"/>
        </w:rPr>
        <w:t>军曹鱼深远海平台养殖技术规程</w:t>
      </w:r>
      <w:r>
        <w:rPr>
          <w:rFonts w:cs="Times New Roman"/>
          <w:color w:val="auto"/>
          <w:highlight w:val="none"/>
        </w:rPr>
        <w:t>》</w:t>
      </w:r>
      <w:r>
        <w:rPr>
          <w:rFonts w:hint="eastAsia" w:cs="Times New Roman"/>
          <w:color w:val="auto"/>
          <w:highlight w:val="none"/>
          <w:lang w:val="en-US" w:eastAsia="zh-CN"/>
        </w:rPr>
        <w:t>是根据</w:t>
      </w:r>
      <w:r>
        <w:rPr>
          <w:rFonts w:hint="eastAsia" w:cs="Times New Roman"/>
          <w:color w:val="auto"/>
          <w:highlight w:val="none"/>
          <w:lang w:eastAsia="zh-CN"/>
        </w:rPr>
        <w:t>《湛江市市场监督管理局关于批准下达2024 年第二批湛江市地方标准制修订计划</w:t>
      </w:r>
      <w:r>
        <w:rPr>
          <w:rFonts w:hint="eastAsia" w:cs="Times New Roman"/>
          <w:color w:val="auto"/>
          <w:highlight w:val="none"/>
          <w:lang w:val="en-US" w:eastAsia="zh-CN"/>
        </w:rPr>
        <w:t>项目的通知</w:t>
      </w:r>
      <w:r>
        <w:rPr>
          <w:rFonts w:hint="eastAsia" w:cs="Times New Roman"/>
          <w:color w:val="auto"/>
          <w:highlight w:val="none"/>
          <w:lang w:eastAsia="zh-CN"/>
        </w:rPr>
        <w:t>》（湛市监计〔2024〕227 号）</w:t>
      </w:r>
      <w:r>
        <w:rPr>
          <w:rFonts w:hint="eastAsia" w:cs="Times New Roman"/>
          <w:color w:val="auto"/>
          <w:highlight w:val="none"/>
          <w:lang w:val="en-US" w:eastAsia="zh-CN"/>
        </w:rPr>
        <w:t>制定的，项目序号为3，由</w:t>
      </w:r>
      <w:r>
        <w:rPr>
          <w:rFonts w:hint="eastAsia" w:cs="Times New Roman"/>
          <w:color w:val="auto"/>
          <w:highlight w:val="none"/>
          <w:lang w:eastAsia="zh-CN"/>
        </w:rPr>
        <w:t>湛江市市场监督管理局</w:t>
      </w:r>
      <w:r>
        <w:rPr>
          <w:rFonts w:hint="eastAsia" w:cs="Times New Roman"/>
          <w:color w:val="auto"/>
          <w:highlight w:val="none"/>
          <w:lang w:val="en-US" w:eastAsia="zh-CN"/>
        </w:rPr>
        <w:t>提出并归口。该计划项目2024年立项，由</w:t>
      </w:r>
      <w:r>
        <w:rPr>
          <w:rFonts w:hint="eastAsia" w:cs="Times New Roman"/>
          <w:color w:val="auto"/>
          <w:highlight w:val="none"/>
          <w:lang w:eastAsia="zh-CN"/>
        </w:rPr>
        <w:t>南方海洋科学与工程广东省实验室（湛江）</w:t>
      </w:r>
      <w:r>
        <w:rPr>
          <w:rFonts w:hint="eastAsia" w:cs="Times New Roman"/>
          <w:color w:val="auto"/>
          <w:highlight w:val="none"/>
          <w:lang w:val="en-US" w:eastAsia="zh-CN"/>
        </w:rPr>
        <w:t>主导，与</w:t>
      </w:r>
      <w:r>
        <w:rPr>
          <w:rFonts w:hint="default" w:cs="Times New Roman"/>
          <w:color w:val="auto"/>
          <w:highlight w:val="none"/>
          <w:lang w:eastAsia="zh-CN"/>
        </w:rPr>
        <w:t>广东省湛江市质量技术监督标准与编码所、广东海威农业集团有限公司</w:t>
      </w:r>
      <w:r>
        <w:rPr>
          <w:rFonts w:hint="eastAsia" w:cs="Times New Roman"/>
          <w:color w:val="auto"/>
          <w:highlight w:val="none"/>
          <w:lang w:val="en-US" w:eastAsia="zh-CN"/>
        </w:rPr>
        <w:t>共同</w:t>
      </w:r>
      <w:r>
        <w:rPr>
          <w:rFonts w:hint="eastAsia" w:cs="Times New Roman"/>
          <w:lang w:val="en-US" w:eastAsia="zh-CN"/>
        </w:rPr>
        <w:t>联合申报制定</w:t>
      </w:r>
      <w:r>
        <w:rPr>
          <w:rFonts w:hint="eastAsia" w:cs="Times New Roman"/>
          <w:color w:val="auto"/>
          <w:highlight w:val="none"/>
          <w:lang w:eastAsia="zh-CN"/>
        </w:rPr>
        <w:t>，</w:t>
      </w:r>
      <w:r>
        <w:rPr>
          <w:rFonts w:hint="eastAsia" w:cs="Times New Roman"/>
          <w:color w:val="auto"/>
          <w:highlight w:val="none"/>
          <w:lang w:val="en-US" w:eastAsia="zh-CN"/>
        </w:rPr>
        <w:t>项目周期为2年，计划完成时间为2026年。</w:t>
      </w:r>
    </w:p>
    <w:p>
      <w:pPr>
        <w:pStyle w:val="19"/>
        <w:widowControl w:val="0"/>
        <w:numPr>
          <w:ilvl w:val="0"/>
          <w:numId w:val="0"/>
        </w:numPr>
        <w:spacing w:line="360" w:lineRule="auto"/>
        <w:jc w:val="both"/>
        <w:rPr>
          <w:rFonts w:hint="eastAsia" w:cs="Times New Roman"/>
          <w:b/>
          <w:color w:val="auto"/>
          <w:kern w:val="2"/>
          <w:highlight w:val="none"/>
          <w:lang w:val="en-US" w:eastAsia="zh-CN"/>
        </w:rPr>
      </w:pPr>
      <w:r>
        <w:rPr>
          <w:rFonts w:hint="eastAsia" w:cs="Times New Roman"/>
          <w:b/>
          <w:color w:val="auto"/>
          <w:kern w:val="2"/>
          <w:highlight w:val="none"/>
          <w:lang w:eastAsia="zh-CN"/>
        </w:rPr>
        <w:t>（</w:t>
      </w:r>
      <w:r>
        <w:rPr>
          <w:rFonts w:hint="eastAsia" w:cs="Times New Roman"/>
          <w:b/>
          <w:color w:val="auto"/>
          <w:kern w:val="2"/>
          <w:highlight w:val="none"/>
          <w:lang w:val="en-US" w:eastAsia="zh-CN"/>
        </w:rPr>
        <w:t>二）制定背景</w:t>
      </w:r>
    </w:p>
    <w:bookmarkEnd w:id="1"/>
    <w:p>
      <w:pPr>
        <w:widowControl/>
        <w:spacing w:line="360" w:lineRule="auto"/>
        <w:ind w:firstLine="480" w:firstLineChars="200"/>
        <w:jc w:val="left"/>
        <w:rPr>
          <w:rFonts w:hint="eastAsia" w:ascii="宋体" w:hAnsi="宋体" w:cs="宋体"/>
          <w:color w:val="auto"/>
          <w:sz w:val="24"/>
          <w:szCs w:val="22"/>
          <w:highlight w:val="none"/>
        </w:rPr>
      </w:pPr>
      <w:r>
        <w:rPr>
          <w:rFonts w:hint="eastAsia" w:ascii="宋体" w:hAnsi="宋体" w:cs="宋体"/>
          <w:color w:val="auto"/>
          <w:kern w:val="0"/>
          <w:sz w:val="24"/>
          <w:szCs w:val="24"/>
          <w:highlight w:val="none"/>
          <w:lang w:bidi="ar"/>
        </w:rPr>
        <w:t xml:space="preserve">军曹鱼 </w:t>
      </w:r>
      <w:r>
        <w:rPr>
          <w:rFonts w:ascii="宋体" w:hAnsi="宋体" w:cs="宋体"/>
          <w:color w:val="auto"/>
          <w:kern w:val="0"/>
          <w:sz w:val="24"/>
          <w:szCs w:val="24"/>
          <w:highlight w:val="none"/>
          <w:lang w:bidi="ar"/>
        </w:rPr>
        <w:t>(</w:t>
      </w:r>
      <w:r>
        <w:rPr>
          <w:rFonts w:hint="eastAsia" w:ascii="宋体" w:hAnsi="宋体" w:cs="宋体"/>
          <w:i/>
          <w:iCs/>
          <w:color w:val="auto"/>
          <w:kern w:val="0"/>
          <w:sz w:val="24"/>
          <w:szCs w:val="24"/>
          <w:highlight w:val="none"/>
          <w:lang w:bidi="ar"/>
        </w:rPr>
        <w:t>Rachycentron canadum</w:t>
      </w:r>
      <w:r>
        <w:rPr>
          <w:rFonts w:ascii="宋体" w:hAnsi="宋体" w:cs="宋体"/>
          <w:color w:val="auto"/>
          <w:kern w:val="0"/>
          <w:sz w:val="24"/>
          <w:szCs w:val="24"/>
          <w:highlight w:val="none"/>
          <w:lang w:bidi="ar"/>
        </w:rPr>
        <w:t>) (Nelson, 1994)又称海鲡、海龙鱼，隶属于鲈形目 (Perciformes) 鲈亚目(Perxoidei) 军曹鱼科 (Rachycentridae) 军曹鱼属(</w:t>
      </w:r>
      <w:r>
        <w:rPr>
          <w:rFonts w:ascii="宋体" w:hAnsi="宋体" w:cs="宋体"/>
          <w:i/>
          <w:iCs/>
          <w:color w:val="auto"/>
          <w:kern w:val="0"/>
          <w:sz w:val="24"/>
          <w:szCs w:val="24"/>
          <w:highlight w:val="none"/>
          <w:lang w:bidi="ar"/>
        </w:rPr>
        <w:t>Rachycentron</w:t>
      </w:r>
      <w:r>
        <w:rPr>
          <w:rFonts w:ascii="宋体" w:hAnsi="宋体" w:cs="宋体"/>
          <w:color w:val="auto"/>
          <w:kern w:val="0"/>
          <w:sz w:val="24"/>
          <w:szCs w:val="24"/>
          <w:highlight w:val="none"/>
          <w:lang w:bidi="ar"/>
        </w:rPr>
        <w:t>)，全世界仅1属1种</w:t>
      </w:r>
      <w:r>
        <w:rPr>
          <w:rFonts w:hint="eastAsia" w:ascii="宋体" w:hAnsi="宋体" w:cs="宋体"/>
          <w:color w:val="auto"/>
          <w:kern w:val="0"/>
          <w:sz w:val="24"/>
          <w:szCs w:val="24"/>
          <w:highlight w:val="none"/>
          <w:lang w:bidi="ar"/>
        </w:rPr>
        <w:t>。该鱼分布于大西洋热带海区、印度洋北部沿岸、太平洋西南部海域，具有生长速度快、个体大、食性杂、抗病力</w:t>
      </w:r>
      <w:r>
        <w:rPr>
          <w:rFonts w:hint="eastAsia" w:ascii="宋体" w:hAnsi="宋体" w:cs="宋体"/>
          <w:color w:val="auto"/>
          <w:sz w:val="24"/>
          <w:szCs w:val="22"/>
          <w:highlight w:val="none"/>
        </w:rPr>
        <w:t>强、产量高、肉质细嫩、切片口感好、味道鲜美等优势，深受国内外消费者欢迎，是</w:t>
      </w:r>
      <w:r>
        <w:rPr>
          <w:rFonts w:ascii="宋体" w:hAnsi="宋体" w:cs="宋体"/>
          <w:color w:val="auto"/>
          <w:sz w:val="24"/>
          <w:szCs w:val="22"/>
          <w:highlight w:val="none"/>
        </w:rPr>
        <w:t>海水鱼类</w:t>
      </w:r>
      <w:r>
        <w:rPr>
          <w:rFonts w:hint="eastAsia" w:ascii="宋体" w:hAnsi="宋体" w:cs="宋体"/>
          <w:color w:val="auto"/>
          <w:sz w:val="24"/>
          <w:szCs w:val="22"/>
          <w:highlight w:val="none"/>
        </w:rPr>
        <w:t>重要</w:t>
      </w:r>
      <w:r>
        <w:rPr>
          <w:rFonts w:ascii="宋体" w:hAnsi="宋体" w:cs="宋体"/>
          <w:color w:val="auto"/>
          <w:sz w:val="24"/>
          <w:szCs w:val="22"/>
          <w:highlight w:val="none"/>
        </w:rPr>
        <w:t>养殖品种之一</w:t>
      </w:r>
      <w:r>
        <w:rPr>
          <w:rFonts w:hint="eastAsia" w:ascii="宋体" w:hAnsi="宋体" w:cs="宋体"/>
          <w:color w:val="auto"/>
          <w:sz w:val="24"/>
          <w:szCs w:val="22"/>
          <w:highlight w:val="none"/>
        </w:rPr>
        <w:t>。2000年以来，随着全人工繁殖及规模化育苗关键技术的突破,成功解决了军曹鱼种苗来源问题，目前已发展成为</w:t>
      </w:r>
      <w:r>
        <w:rPr>
          <w:rFonts w:ascii="宋体" w:hAnsi="宋体" w:cs="宋体"/>
          <w:color w:val="auto"/>
          <w:sz w:val="24"/>
          <w:szCs w:val="22"/>
          <w:highlight w:val="none"/>
        </w:rPr>
        <w:t>广东</w:t>
      </w:r>
      <w:r>
        <w:rPr>
          <w:rFonts w:hint="eastAsia" w:ascii="宋体" w:hAnsi="宋体" w:cs="宋体"/>
          <w:color w:val="auto"/>
          <w:sz w:val="24"/>
          <w:szCs w:val="22"/>
          <w:highlight w:val="none"/>
        </w:rPr>
        <w:t>、</w:t>
      </w:r>
      <w:r>
        <w:rPr>
          <w:rFonts w:ascii="宋体" w:hAnsi="宋体" w:cs="宋体"/>
          <w:color w:val="auto"/>
          <w:sz w:val="24"/>
          <w:szCs w:val="22"/>
          <w:highlight w:val="none"/>
        </w:rPr>
        <w:t>海南等近海地区深水网箱养殖的重要品种之一</w:t>
      </w:r>
      <w:r>
        <w:rPr>
          <w:rFonts w:hint="eastAsia" w:ascii="宋体" w:hAnsi="宋体" w:cs="宋体"/>
          <w:color w:val="auto"/>
          <w:sz w:val="24"/>
          <w:szCs w:val="22"/>
          <w:highlight w:val="none"/>
        </w:rPr>
        <w:t>。2023年我国军曹鱼养殖产量达到3.3万t，其中广东省产量为2.3万t，占总养殖产量的70%。</w:t>
      </w:r>
    </w:p>
    <w:p>
      <w:pPr>
        <w:widowControl w:val="0"/>
        <w:spacing w:line="360" w:lineRule="auto"/>
        <w:ind w:firstLine="480" w:firstLineChars="200"/>
        <w:jc w:val="both"/>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近年来，我国近岸海水养殖已趋于饱和，养殖环境不断恶化，开拓深远海水域是海水养殖业发展的必然趋势。通过科学规划海水鱼鱼苗、鱼种、成鱼养殖产业布局，实现陆基、近海、深远海养殖设施的有效衔接，不仅可以扭转近岸环境面临的不断恶化压力，还能缩短养殖周期、降低养殖风险、缓解资金压力。军曹鱼养殖走向深海是必然的发展趋势。发展军曹鱼的深远海平台养殖能为军曹鱼提供近似的深海环境，使其生境与野生品种相似。除此之外，通过放养大规格苗种，可以缩短养殖周期，能够降低养殖成本，养出大规格品质良好的成鱼，推动军曹鱼深远海养殖产业的发展。本标准的制定能为军曹鱼的平台养殖提供技术支持，使生产的各环节有章可循，规范军曹鱼深远海平台养殖的操作流程。</w:t>
      </w:r>
    </w:p>
    <w:p>
      <w:pPr>
        <w:widowControl w:val="0"/>
        <w:spacing w:line="360" w:lineRule="auto"/>
        <w:ind w:firstLine="480" w:firstLineChars="200"/>
        <w:jc w:val="both"/>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我国</w:t>
      </w:r>
      <w:bookmarkStart w:id="2" w:name="OLE_LINK1"/>
      <w:r>
        <w:rPr>
          <w:rFonts w:hint="eastAsia" w:ascii="宋体" w:hAnsi="宋体" w:cs="宋体"/>
          <w:color w:val="auto"/>
          <w:kern w:val="0"/>
          <w:sz w:val="24"/>
          <w:szCs w:val="24"/>
          <w:highlight w:val="none"/>
          <w:lang w:bidi="ar"/>
        </w:rPr>
        <w:t>目前仅建立了GB/T 22919.2-2008 《水产配合饲料第2部分：军曹鱼配合饲料》1项国家标准、DB44/T 2380-2022《军曹鱼网箱养殖技术规范》和DB46/T 170-2009《军曹鱼深水网箱养殖技术规程》2项地方标准</w:t>
      </w:r>
      <w:bookmarkEnd w:id="2"/>
      <w:r>
        <w:rPr>
          <w:rFonts w:hint="eastAsia" w:ascii="宋体" w:hAnsi="宋体" w:cs="宋体"/>
          <w:color w:val="auto"/>
          <w:kern w:val="0"/>
          <w:sz w:val="24"/>
          <w:szCs w:val="24"/>
          <w:highlight w:val="none"/>
          <w:lang w:bidi="ar"/>
        </w:rPr>
        <w:t>，缺乏军曹鱼适用于养殖平台的深远海养殖技术标准，为此亟需建立军曹鱼深远海养殖平台的技术标准，构建军曹鱼陆海接力养殖标准体系。</w:t>
      </w:r>
    </w:p>
    <w:p>
      <w:pPr>
        <w:widowControl w:val="0"/>
        <w:spacing w:line="360" w:lineRule="auto"/>
        <w:jc w:val="both"/>
        <w:rPr>
          <w:rFonts w:hint="eastAsia" w:cs="宋体"/>
          <w:b/>
          <w:bCs/>
          <w:color w:val="auto"/>
          <w:sz w:val="24"/>
          <w:szCs w:val="24"/>
          <w:highlight w:val="none"/>
          <w:lang w:val="en-US" w:eastAsia="zh-CN"/>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三</w:t>
      </w: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标准承担单位</w:t>
      </w:r>
    </w:p>
    <w:p>
      <w:pPr>
        <w:spacing w:line="360" w:lineRule="auto"/>
        <w:ind w:firstLine="480" w:firstLineChars="200"/>
        <w:rPr>
          <w:rFonts w:hint="eastAsia" w:cs="Times New Roman"/>
          <w:color w:val="auto"/>
          <w:highlight w:val="none"/>
          <w:lang w:val="en-US" w:eastAsia="zh-CN"/>
        </w:rPr>
      </w:pPr>
      <w:r>
        <w:rPr>
          <w:rFonts w:cs="Times New Roman"/>
          <w:color w:val="auto"/>
          <w:highlight w:val="none"/>
        </w:rPr>
        <w:t>《</w:t>
      </w:r>
      <w:r>
        <w:rPr>
          <w:rFonts w:hint="eastAsia" w:cs="Times New Roman"/>
          <w:color w:val="auto"/>
          <w:highlight w:val="none"/>
          <w:lang w:eastAsia="zh-CN"/>
        </w:rPr>
        <w:t>军曹鱼深远海平台养殖技术规程</w:t>
      </w:r>
      <w:r>
        <w:rPr>
          <w:rFonts w:cs="Times New Roman"/>
          <w:color w:val="auto"/>
          <w:highlight w:val="none"/>
        </w:rPr>
        <w:t>》</w:t>
      </w:r>
      <w:r>
        <w:rPr>
          <w:rFonts w:hint="eastAsia" w:cs="Times New Roman"/>
          <w:color w:val="auto"/>
          <w:highlight w:val="none"/>
          <w:lang w:eastAsia="zh-CN"/>
        </w:rPr>
        <w:t>标准</w:t>
      </w:r>
      <w:r>
        <w:rPr>
          <w:rFonts w:hint="eastAsia" w:cs="Times New Roman"/>
          <w:color w:val="auto"/>
          <w:highlight w:val="none"/>
          <w:lang w:val="en-US" w:eastAsia="zh-CN"/>
        </w:rPr>
        <w:t>制</w:t>
      </w:r>
      <w:r>
        <w:rPr>
          <w:rFonts w:hint="eastAsia" w:cs="Times New Roman"/>
          <w:color w:val="auto"/>
          <w:highlight w:val="none"/>
          <w:lang w:eastAsia="zh-CN"/>
        </w:rPr>
        <w:t>订工作</w:t>
      </w:r>
      <w:r>
        <w:rPr>
          <w:rFonts w:hint="eastAsia" w:cs="Times New Roman"/>
          <w:color w:val="auto"/>
          <w:highlight w:val="none"/>
          <w:lang w:val="en-US" w:eastAsia="zh-CN"/>
        </w:rPr>
        <w:t>主导</w:t>
      </w:r>
      <w:r>
        <w:rPr>
          <w:rFonts w:hint="eastAsia" w:cs="Times New Roman"/>
          <w:color w:val="auto"/>
          <w:highlight w:val="none"/>
          <w:lang w:eastAsia="zh-CN"/>
        </w:rPr>
        <w:t>单位是南方海洋科学与工程广东省实验室（湛江），</w:t>
      </w:r>
      <w:r>
        <w:rPr>
          <w:rFonts w:hint="eastAsia" w:cs="Times New Roman"/>
          <w:color w:val="auto"/>
          <w:highlight w:val="none"/>
          <w:lang w:val="en-US" w:eastAsia="zh-CN"/>
        </w:rPr>
        <w:t>参与单位为广东省湛江市质量技术监督标准与编码所、</w:t>
      </w:r>
      <w:r>
        <w:rPr>
          <w:rFonts w:hint="eastAsia" w:cs="Times New Roman"/>
          <w:color w:val="auto"/>
          <w:highlight w:val="none"/>
          <w:lang w:eastAsia="zh-CN"/>
        </w:rPr>
        <w:t>广东海威农业集团有限公司</w:t>
      </w:r>
      <w:r>
        <w:rPr>
          <w:rFonts w:hint="eastAsia" w:cs="Times New Roman"/>
          <w:color w:val="auto"/>
          <w:highlight w:val="none"/>
          <w:lang w:val="en-US" w:eastAsia="zh-CN"/>
        </w:rPr>
        <w:t>。</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val="en-US" w:eastAsia="zh-CN"/>
        </w:rPr>
        <w:t>1</w:t>
      </w:r>
      <w:r>
        <w:rPr>
          <w:rFonts w:hint="eastAsia" w:cs="Times New Roman"/>
          <w:color w:val="auto"/>
          <w:highlight w:val="none"/>
          <w:lang w:eastAsia="zh-CN"/>
        </w:rPr>
        <w:t>南方海洋科学与工程广东省实验室（湛江）</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eastAsia="zh-CN"/>
        </w:rPr>
        <w:t>南方海洋科学与工程广东省实验室（湛江）（下称湛江湾实验室）为广东省登记设立的公益性事业单位，是粤西地区首个获批设立的省实验室，实验室现有全职人员中，具有博士、硕士学历占比77%；具有高级、中级专业技术职称占比40%。为促进现代化海洋牧场高质量发展，湛江湾实验室成立深远海养殖技术标准化研究所，所长担任国家水产标准技术委员会海水养殖分会副主任等职务，团队成员有大多拥有多年水产动物生产实践经验，制定相关国家标准、地方标准和企业标准多项，如GB/T 30890-2014《凡纳滨对虾育苗技术规范》等。团队成员系统深入的学习了《中华人民共和国标准化法》、《国家标准化发展纲要》、《标准编制说明编写新要求及注意事项》、《如何申报和制定国家标准、行业标准、地方标准》、《水产标准化管理新要求》、《水产国、行标制修订程序及审查要求》、《广东省标准化条例》、《地方标准管理办法》等法律法规、相关政策及标准化专业知识。目前《深远海养殖鱼类关键技术标准化研究》项目正按计划实施，经费充足。</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val="en-US" w:eastAsia="zh-CN"/>
        </w:rPr>
        <w:t>2</w:t>
      </w:r>
      <w:r>
        <w:rPr>
          <w:rFonts w:hint="eastAsia" w:cs="Times New Roman"/>
          <w:color w:val="auto"/>
          <w:highlight w:val="none"/>
          <w:lang w:eastAsia="zh-CN"/>
        </w:rPr>
        <w:t>广东省湛江市质量技术监督标准与编码所</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eastAsia="zh-CN"/>
        </w:rPr>
        <w:t xml:space="preserve">广东省湛江市质量技术监督标准与编码所成立于2003年8月。属于省直事业机构，是广东省粤西地区唯一的标准化服务与研究专业技术机构。目前拥有在职员工25人，其中高级工程师职称4人、中级工程师职称8人，研究生及以上学历人才7人。目前是CQC中国质量认证中心广州分中心湛江办事处、广东省WTO/TBT-SPS通报咨询研究中心湛江工作站、广东省物品编码分中心湛江市办事处，2018年经广东省工业和信息化厅认定为省级“质量与标准中小微企业公共服务示范平台”。本单位作为省、市实施标准化战略的技术支撑单位，根据政策要求，结合地方产业特色长期开展标准化研究与服务工作，包括开展国家标准、行业标准、地方标准、团体标准研制，标准体系研究、标准化试点创建、标准化应用、标准化信息服务平台建设等工作。 </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eastAsia="zh-CN"/>
        </w:rPr>
        <w:t>截至</w:t>
      </w:r>
      <w:bookmarkStart w:id="3" w:name="_GoBack"/>
      <w:bookmarkEnd w:id="3"/>
      <w:r>
        <w:rPr>
          <w:rFonts w:hint="eastAsia" w:cs="Times New Roman"/>
          <w:color w:val="auto"/>
          <w:highlight w:val="none"/>
          <w:lang w:eastAsia="zh-CN"/>
        </w:rPr>
        <w:t>目前，广东省湛江市质量技术监督标准与编码所主导和主要参与制定的标准有：国家标准2项（GB/T 26940-2023《牡蛎干》、GB/T 30947-2024《罐装冷藏蟹肉》），行业标准2项（SC/T 3035-2018《水产品包装、标识通则》、NY/T 873-2023《菠萝汁》），“湾区标准”1项（T/ZJBX 12—2023《预制菜 烤鱼》），地方标准45项（DB4408/T 6-2020《地理标志产品 廉江红橙》等），团体标准53项（T/ZDBX 001—2021《地理标志产品 湛江鸡》等）。技术指导完成国家级服务业标准化试点2项，国家级美丽乡村试点1项，省级农业标准化试点2项。同时立项并完成了水产品、徐闻菠萝、湛江菜等多个项目的技术标准体系研究项目。</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val="en-US" w:eastAsia="zh-CN"/>
        </w:rPr>
        <w:t>3.</w:t>
      </w:r>
      <w:r>
        <w:rPr>
          <w:rFonts w:hint="eastAsia" w:cs="Times New Roman"/>
          <w:color w:val="auto"/>
          <w:highlight w:val="none"/>
          <w:lang w:eastAsia="zh-CN"/>
        </w:rPr>
        <w:t>广东海威农业集团有限公司</w:t>
      </w:r>
    </w:p>
    <w:p>
      <w:pPr>
        <w:spacing w:line="360" w:lineRule="auto"/>
        <w:ind w:firstLine="480" w:firstLineChars="200"/>
        <w:rPr>
          <w:rFonts w:hint="eastAsia" w:cs="Times New Roman"/>
          <w:color w:val="auto"/>
          <w:highlight w:val="none"/>
          <w:lang w:eastAsia="zh-CN"/>
        </w:rPr>
      </w:pPr>
      <w:r>
        <w:rPr>
          <w:rFonts w:hint="eastAsia" w:cs="Times New Roman"/>
          <w:color w:val="auto"/>
          <w:highlight w:val="none"/>
          <w:lang w:eastAsia="zh-CN"/>
        </w:rPr>
        <w:t>广东海威农业集团有限公司是一家集选育、种苗生产、水产养殖、水产品加工、水生生物保健品生产和研发于一体的新型民营企业。参与制定了DB4408</w:t>
      </w:r>
      <w:r>
        <w:rPr>
          <w:rFonts w:hint="eastAsia" w:cs="Times New Roman"/>
          <w:color w:val="auto"/>
          <w:highlight w:val="none"/>
          <w:lang w:val="en-US" w:eastAsia="zh-CN"/>
        </w:rPr>
        <w:t>/</w:t>
      </w:r>
      <w:r>
        <w:rPr>
          <w:rFonts w:hint="eastAsia" w:cs="Times New Roman"/>
          <w:color w:val="auto"/>
          <w:highlight w:val="none"/>
          <w:lang w:eastAsia="zh-CN"/>
        </w:rPr>
        <w:t>T 12—2022《卵形鲳鲹 亲鱼》、DB4408/T 14-2022《卵形鲳鲹 鱼苗和鱼种》、DB4408</w:t>
      </w:r>
      <w:r>
        <w:rPr>
          <w:rFonts w:hint="eastAsia" w:cs="Times New Roman"/>
          <w:color w:val="auto"/>
          <w:highlight w:val="none"/>
          <w:lang w:val="en-US" w:eastAsia="zh-CN"/>
        </w:rPr>
        <w:t>/</w:t>
      </w:r>
      <w:r>
        <w:rPr>
          <w:rFonts w:hint="eastAsia" w:cs="Times New Roman"/>
          <w:color w:val="auto"/>
          <w:highlight w:val="none"/>
          <w:lang w:eastAsia="zh-CN"/>
        </w:rPr>
        <w:t>T 11—2022《卵形鲳鲹 种质》、DB4408/T 13-2022《卵形鲳鲹人工繁育技术规程》、DB4408T 17—2022《卵形鲳鲹养殖技术规程 深海平台养殖》、DB4408/T 16-2022《卵形鲳鲹养殖技术规程 深水网箱养殖》、DB4408/T 15-2022《卵形鲳鲹养殖技术规程 鱼苗和鱼种培育》等地方标准，联合中国科学院广州能源研究所、湛江湾实验室等单位，利用具有我国自主知识产权的先进智能养殖平台技术，打造业内首个3万立方智能渔业养殖平台“海威2号”，在平台养殖方面</w:t>
      </w:r>
      <w:r>
        <w:rPr>
          <w:rFonts w:hint="eastAsia" w:cs="Times New Roman"/>
          <w:color w:val="auto"/>
          <w:highlight w:val="none"/>
          <w:lang w:val="en-US" w:eastAsia="zh-CN"/>
        </w:rPr>
        <w:t>积累了较为</w:t>
      </w:r>
      <w:r>
        <w:rPr>
          <w:rFonts w:hint="eastAsia" w:cs="Times New Roman"/>
          <w:color w:val="auto"/>
          <w:highlight w:val="none"/>
          <w:lang w:eastAsia="zh-CN"/>
        </w:rPr>
        <w:t>丰富的经验，为相关标准的制定提供参考。</w:t>
      </w:r>
    </w:p>
    <w:p>
      <w:pPr>
        <w:widowControl w:val="0"/>
        <w:spacing w:line="360" w:lineRule="auto"/>
        <w:jc w:val="both"/>
        <w:rPr>
          <w:rFonts w:hint="default" w:cs="Times New Roman"/>
          <w:b/>
          <w:bCs/>
          <w:color w:val="auto"/>
          <w:highlight w:val="none"/>
          <w:lang w:val="en-US" w:eastAsia="zh-CN"/>
        </w:rPr>
      </w:pPr>
      <w:r>
        <w:rPr>
          <w:rFonts w:hint="eastAsia" w:cs="Times New Roman"/>
          <w:b/>
          <w:bCs/>
          <w:color w:val="auto"/>
          <w:highlight w:val="none"/>
          <w:lang w:eastAsia="zh-CN"/>
        </w:rPr>
        <w:t>（</w:t>
      </w:r>
      <w:r>
        <w:rPr>
          <w:rFonts w:hint="eastAsia" w:cs="Times New Roman"/>
          <w:b/>
          <w:bCs/>
          <w:color w:val="auto"/>
          <w:highlight w:val="none"/>
          <w:lang w:val="en-US" w:eastAsia="zh-CN"/>
        </w:rPr>
        <w:t>四</w:t>
      </w:r>
      <w:r>
        <w:rPr>
          <w:rFonts w:hint="eastAsia" w:cs="Times New Roman"/>
          <w:b/>
          <w:bCs/>
          <w:color w:val="auto"/>
          <w:highlight w:val="none"/>
          <w:lang w:eastAsia="zh-CN"/>
        </w:rPr>
        <w:t>）</w:t>
      </w:r>
      <w:r>
        <w:rPr>
          <w:rFonts w:hint="eastAsia" w:cs="Times New Roman"/>
          <w:b/>
          <w:bCs/>
          <w:color w:val="auto"/>
          <w:highlight w:val="none"/>
          <w:lang w:val="en-US" w:eastAsia="zh-CN"/>
        </w:rPr>
        <w:t>主要工作过程</w:t>
      </w:r>
    </w:p>
    <w:p>
      <w:pPr>
        <w:widowControl w:val="0"/>
        <w:spacing w:line="360" w:lineRule="auto"/>
        <w:ind w:firstLine="482" w:firstLineChars="200"/>
        <w:jc w:val="both"/>
        <w:rPr>
          <w:rFonts w:hint="eastAsia" w:cs="Times New Roman"/>
          <w:b/>
          <w:bCs/>
          <w:color w:val="auto"/>
          <w:sz w:val="24"/>
          <w:szCs w:val="24"/>
          <w:highlight w:val="none"/>
          <w:lang w:val="en-US" w:eastAsia="zh-CN"/>
        </w:rPr>
      </w:pPr>
      <w:r>
        <w:rPr>
          <w:rFonts w:hint="eastAsia" w:cs="Times New Roman"/>
          <w:b/>
          <w:bCs/>
          <w:color w:val="auto"/>
          <w:sz w:val="24"/>
          <w:szCs w:val="24"/>
          <w:highlight w:val="none"/>
          <w:lang w:val="en-US" w:eastAsia="zh-CN"/>
        </w:rPr>
        <w:t>1起草过程</w:t>
      </w:r>
    </w:p>
    <w:p>
      <w:pPr>
        <w:pStyle w:val="19"/>
        <w:widowControl w:val="0"/>
        <w:numPr>
          <w:ilvl w:val="0"/>
          <w:numId w:val="0"/>
        </w:numPr>
        <w:spacing w:line="360" w:lineRule="auto"/>
        <w:ind w:firstLine="482" w:firstLineChars="200"/>
        <w:jc w:val="both"/>
        <w:rPr>
          <w:rFonts w:hint="eastAsia" w:cs="Times New Roman"/>
          <w:b/>
          <w:bCs/>
          <w:color w:val="auto"/>
          <w:highlight w:val="none"/>
        </w:rPr>
      </w:pPr>
      <w:r>
        <w:rPr>
          <w:rFonts w:hint="eastAsia" w:cs="Times New Roman"/>
          <w:b/>
          <w:bCs/>
          <w:color w:val="auto"/>
          <w:highlight w:val="none"/>
          <w:lang w:val="en-US" w:eastAsia="zh-CN"/>
        </w:rPr>
        <w:t>1.1</w:t>
      </w:r>
      <w:r>
        <w:rPr>
          <w:rFonts w:hint="eastAsia" w:cs="Times New Roman"/>
          <w:b/>
          <w:bCs/>
          <w:color w:val="auto"/>
          <w:highlight w:val="none"/>
        </w:rPr>
        <w:t>成立</w:t>
      </w:r>
      <w:r>
        <w:rPr>
          <w:rFonts w:hint="eastAsia" w:cs="Times New Roman"/>
          <w:b/>
          <w:bCs/>
          <w:color w:val="auto"/>
          <w:highlight w:val="none"/>
          <w:lang w:val="en-US" w:eastAsia="zh-CN"/>
        </w:rPr>
        <w:t>标准起草</w:t>
      </w:r>
      <w:r>
        <w:rPr>
          <w:rFonts w:hint="eastAsia" w:cs="Times New Roman"/>
          <w:b/>
          <w:bCs/>
          <w:color w:val="auto"/>
          <w:highlight w:val="none"/>
        </w:rPr>
        <w:t>小组</w:t>
      </w:r>
    </w:p>
    <w:p>
      <w:pPr>
        <w:pStyle w:val="19"/>
        <w:widowControl w:val="0"/>
        <w:numPr>
          <w:ilvl w:val="0"/>
          <w:numId w:val="0"/>
        </w:numPr>
        <w:spacing w:line="360" w:lineRule="auto"/>
        <w:ind w:firstLine="480" w:firstLineChars="200"/>
        <w:jc w:val="both"/>
        <w:rPr>
          <w:rFonts w:hint="eastAsia"/>
          <w:color w:val="auto"/>
          <w:highlight w:val="none"/>
          <w:lang w:val="en-US" w:eastAsia="zh-CN"/>
        </w:rPr>
      </w:pPr>
      <w:r>
        <w:rPr>
          <w:rFonts w:hint="eastAsia" w:cs="Times New Roman"/>
          <w:color w:val="auto"/>
          <w:highlight w:val="none"/>
        </w:rPr>
        <w:t>本标准制定任务下达后，项目</w:t>
      </w:r>
      <w:r>
        <w:rPr>
          <w:rFonts w:hint="eastAsia" w:cs="Times New Roman"/>
          <w:color w:val="auto"/>
          <w:highlight w:val="none"/>
          <w:lang w:val="en-US" w:eastAsia="zh-CN"/>
        </w:rPr>
        <w:t>主导</w:t>
      </w:r>
      <w:r>
        <w:rPr>
          <w:rFonts w:hint="eastAsia" w:cs="Times New Roman"/>
          <w:color w:val="auto"/>
          <w:highlight w:val="none"/>
        </w:rPr>
        <w:t>单位</w:t>
      </w:r>
      <w:r>
        <w:rPr>
          <w:rFonts w:hint="eastAsia" w:cs="Times New Roman"/>
          <w:color w:val="auto"/>
          <w:highlight w:val="none"/>
          <w:lang w:eastAsia="zh-CN"/>
        </w:rPr>
        <w:t>南方海洋科学与工程广东省实验室（湛江）</w:t>
      </w:r>
      <w:r>
        <w:rPr>
          <w:rFonts w:hint="eastAsia" w:cs="Times New Roman"/>
          <w:color w:val="auto"/>
          <w:highlight w:val="none"/>
        </w:rPr>
        <w:t>联合</w:t>
      </w:r>
      <w:r>
        <w:rPr>
          <w:rFonts w:hint="eastAsia"/>
          <w:color w:val="auto"/>
          <w:highlight w:val="none"/>
          <w:lang w:eastAsia="zh-CN"/>
        </w:rPr>
        <w:t>湛江市质量技术监督标准与编码所</w:t>
      </w:r>
      <w:r>
        <w:rPr>
          <w:rFonts w:ascii="Times New Roman" w:hAnsi="Times New Roman" w:cs="Times New Roman"/>
          <w:color w:val="auto"/>
          <w:highlight w:val="none"/>
        </w:rPr>
        <w:t>及</w:t>
      </w:r>
      <w:r>
        <w:rPr>
          <w:rFonts w:hint="eastAsia"/>
          <w:color w:val="auto"/>
          <w:highlight w:val="none"/>
        </w:rPr>
        <w:t>广东海威农业集团有限公司</w:t>
      </w:r>
      <w:r>
        <w:rPr>
          <w:rFonts w:hint="eastAsia" w:ascii="Times New Roman" w:hAnsi="Times New Roman" w:cs="Times New Roman"/>
          <w:color w:val="auto"/>
          <w:highlight w:val="none"/>
        </w:rPr>
        <w:t>成立了</w:t>
      </w:r>
      <w:r>
        <w:rPr>
          <w:rFonts w:hint="eastAsia" w:cs="Times New Roman"/>
          <w:color w:val="auto"/>
          <w:highlight w:val="none"/>
        </w:rPr>
        <w:t>标准起草小组，</w:t>
      </w:r>
      <w:r>
        <w:rPr>
          <w:rFonts w:hint="eastAsia"/>
          <w:color w:val="auto"/>
          <w:highlight w:val="none"/>
          <w:lang w:eastAsia="zh-CN"/>
        </w:rPr>
        <w:t>由水产动物养殖、</w:t>
      </w:r>
      <w:r>
        <w:rPr>
          <w:rFonts w:hint="eastAsia"/>
          <w:color w:val="auto"/>
          <w:highlight w:val="none"/>
          <w:lang w:val="en-US" w:eastAsia="zh-CN"/>
        </w:rPr>
        <w:t>病害、营养</w:t>
      </w:r>
      <w:r>
        <w:rPr>
          <w:rFonts w:hint="eastAsia"/>
          <w:color w:val="auto"/>
          <w:highlight w:val="none"/>
          <w:lang w:eastAsia="zh-CN"/>
        </w:rPr>
        <w:t>标准化工作的科研人员，以及</w:t>
      </w:r>
      <w:r>
        <w:rPr>
          <w:rFonts w:hint="eastAsia"/>
          <w:color w:val="auto"/>
          <w:highlight w:val="none"/>
          <w:lang w:val="en-US" w:eastAsia="zh-CN"/>
        </w:rPr>
        <w:t>军曹鱼养殖</w:t>
      </w:r>
      <w:r>
        <w:rPr>
          <w:rFonts w:hint="eastAsia"/>
          <w:color w:val="auto"/>
          <w:highlight w:val="none"/>
          <w:lang w:eastAsia="zh-CN"/>
        </w:rPr>
        <w:t>企业相关技术</w:t>
      </w:r>
      <w:r>
        <w:rPr>
          <w:rFonts w:hint="eastAsia"/>
          <w:color w:val="auto"/>
          <w:highlight w:val="none"/>
          <w:lang w:val="en-US" w:eastAsia="zh-CN"/>
        </w:rPr>
        <w:t>和管理</w:t>
      </w:r>
      <w:r>
        <w:rPr>
          <w:rFonts w:hint="eastAsia"/>
          <w:color w:val="auto"/>
          <w:highlight w:val="none"/>
          <w:lang w:eastAsia="zh-CN"/>
        </w:rPr>
        <w:t>人员组成（</w:t>
      </w:r>
      <w:r>
        <w:rPr>
          <w:rFonts w:hint="eastAsia"/>
          <w:color w:val="auto"/>
          <w:highlight w:val="none"/>
          <w:lang w:val="en-US" w:eastAsia="zh-CN"/>
        </w:rPr>
        <w:t>见表1</w:t>
      </w:r>
      <w:r>
        <w:rPr>
          <w:rFonts w:hint="eastAsia"/>
          <w:color w:val="auto"/>
          <w:highlight w:val="none"/>
          <w:lang w:eastAsia="zh-CN"/>
        </w:rPr>
        <w:t>），</w:t>
      </w:r>
      <w:r>
        <w:rPr>
          <w:rFonts w:hint="eastAsia"/>
          <w:color w:val="auto"/>
          <w:highlight w:val="none"/>
          <w:lang w:val="en-US" w:eastAsia="zh-CN"/>
        </w:rPr>
        <w:t>讨论了标准草案的大概框架，明确了各个人员的分工和时间节点要求。</w:t>
      </w:r>
    </w:p>
    <w:p>
      <w:pPr>
        <w:widowControl w:val="0"/>
        <w:spacing w:line="360" w:lineRule="auto"/>
        <w:jc w:val="center"/>
        <w:rPr>
          <w:rFonts w:ascii="Times New Roman" w:hAnsi="Times New Roman" w:cs="Times New Roman"/>
          <w:b/>
          <w:bCs/>
          <w:color w:val="auto"/>
          <w:kern w:val="2"/>
          <w:sz w:val="21"/>
          <w:szCs w:val="21"/>
          <w:highlight w:val="none"/>
        </w:rPr>
      </w:pPr>
      <w:r>
        <w:rPr>
          <w:rFonts w:ascii="Times New Roman" w:hAnsi="Times New Roman" w:cs="Times New Roman"/>
          <w:b/>
          <w:bCs/>
          <w:color w:val="auto"/>
          <w:kern w:val="2"/>
          <w:sz w:val="21"/>
          <w:szCs w:val="21"/>
          <w:highlight w:val="none"/>
        </w:rPr>
        <w:t>表</w:t>
      </w:r>
      <w:r>
        <w:rPr>
          <w:rFonts w:hint="eastAsia" w:cs="Times New Roman"/>
          <w:b/>
          <w:bCs/>
          <w:color w:val="auto"/>
          <w:kern w:val="2"/>
          <w:sz w:val="21"/>
          <w:szCs w:val="21"/>
          <w:highlight w:val="none"/>
          <w:lang w:val="en-US" w:eastAsia="zh-CN"/>
        </w:rPr>
        <w:t>1</w:t>
      </w:r>
      <w:r>
        <w:rPr>
          <w:rFonts w:ascii="Times New Roman" w:hAnsi="Times New Roman" w:cs="Times New Roman"/>
          <w:b/>
          <w:bCs/>
          <w:color w:val="auto"/>
          <w:kern w:val="2"/>
          <w:sz w:val="21"/>
          <w:szCs w:val="21"/>
          <w:highlight w:val="none"/>
        </w:rPr>
        <w:t>标准主要起草人及其任务分工</w:t>
      </w:r>
    </w:p>
    <w:tbl>
      <w:tblPr>
        <w:tblStyle w:val="12"/>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440"/>
        <w:gridCol w:w="2147"/>
        <w:gridCol w:w="3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288" w:lineRule="auto"/>
              <w:ind w:left="0" w:leftChars="0" w:right="0" w:rightChars="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sz w:val="24"/>
                <w:szCs w:val="24"/>
                <w:highlight w:val="none"/>
              </w:rPr>
              <w:t>姓名</w:t>
            </w:r>
          </w:p>
        </w:tc>
        <w:tc>
          <w:tcPr>
            <w:tcW w:w="244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288" w:lineRule="auto"/>
              <w:ind w:left="0" w:leftChars="0" w:right="0" w:rightChars="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sz w:val="24"/>
                <w:szCs w:val="24"/>
                <w:highlight w:val="none"/>
              </w:rPr>
              <w:t>工作单位</w:t>
            </w:r>
          </w:p>
        </w:tc>
        <w:tc>
          <w:tcPr>
            <w:tcW w:w="2147"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288" w:lineRule="auto"/>
              <w:ind w:left="0" w:leftChars="0" w:right="0" w:rightChars="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sz w:val="24"/>
                <w:szCs w:val="24"/>
                <w:highlight w:val="none"/>
              </w:rPr>
              <w:t>研究方向</w:t>
            </w:r>
          </w:p>
        </w:tc>
        <w:tc>
          <w:tcPr>
            <w:tcW w:w="3746"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288" w:lineRule="auto"/>
              <w:ind w:left="0" w:leftChars="0" w:right="0" w:rightChars="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sz w:val="24"/>
                <w:szCs w:val="24"/>
                <w:highlight w:val="none"/>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cs="Times New Roman"/>
                <w:color w:val="auto"/>
                <w:kern w:val="2"/>
                <w:sz w:val="24"/>
                <w:szCs w:val="24"/>
                <w:highlight w:val="none"/>
                <w:lang w:val="en-US" w:eastAsia="zh-CN"/>
              </w:rPr>
              <w:t>李色东</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企业管理</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cs="Times New Roman"/>
                <w:color w:val="auto"/>
                <w:kern w:val="2"/>
                <w:sz w:val="24"/>
                <w:szCs w:val="24"/>
                <w:highlight w:val="none"/>
              </w:rPr>
              <w:t>标准编制组主持人。负责项目申报，组织实施，制定方案。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default" w:eastAsia="宋体" w:cs="Times New Roman"/>
                <w:color w:val="auto"/>
                <w:kern w:val="2"/>
                <w:sz w:val="24"/>
                <w:szCs w:val="24"/>
                <w:highlight w:val="none"/>
                <w:lang w:val="en-US" w:eastAsia="zh-CN"/>
              </w:rPr>
            </w:pPr>
            <w:r>
              <w:rPr>
                <w:rFonts w:hint="eastAsia" w:cs="Times New Roman"/>
                <w:color w:val="auto"/>
                <w:kern w:val="2"/>
                <w:sz w:val="24"/>
                <w:szCs w:val="24"/>
                <w:highlight w:val="none"/>
                <w:lang w:val="en-US" w:eastAsia="zh-CN"/>
              </w:rPr>
              <w:t>冯世祥</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color w:val="auto"/>
                <w:sz w:val="24"/>
                <w:szCs w:val="24"/>
                <w:highlight w:val="none"/>
                <w:lang w:eastAsia="zh-CN"/>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color w:val="auto"/>
                <w:kern w:val="2"/>
                <w:sz w:val="24"/>
                <w:szCs w:val="24"/>
                <w:highlight w:val="none"/>
              </w:rPr>
            </w:pPr>
            <w:r>
              <w:rPr>
                <w:rFonts w:hint="eastAsia" w:cs="Times New Roman"/>
                <w:color w:val="auto"/>
                <w:kern w:val="2"/>
                <w:sz w:val="24"/>
                <w:szCs w:val="24"/>
                <w:highlight w:val="none"/>
              </w:rPr>
              <w:t>标准编制组成员，主要起草人。负责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收集</w:t>
            </w:r>
            <w:r>
              <w:rPr>
                <w:rFonts w:hint="eastAsia" w:ascii="Times New Roman" w:hAnsi="Times New Roman" w:cs="Times New Roman"/>
                <w:color w:val="auto"/>
                <w:sz w:val="24"/>
                <w:szCs w:val="24"/>
                <w:highlight w:val="none"/>
                <w:lang w:eastAsia="zh-CN"/>
              </w:rPr>
              <w:t>、</w:t>
            </w:r>
            <w:r>
              <w:rPr>
                <w:rFonts w:hint="eastAsia" w:cs="Times New Roman"/>
                <w:color w:val="auto"/>
                <w:kern w:val="2"/>
                <w:sz w:val="24"/>
                <w:szCs w:val="24"/>
                <w:highlight w:val="none"/>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cs="Times New Roman"/>
                <w:color w:val="auto"/>
                <w:kern w:val="2"/>
                <w:sz w:val="24"/>
                <w:szCs w:val="24"/>
                <w:highlight w:val="none"/>
              </w:rPr>
              <w:t>刘</w:t>
            </w:r>
            <w:r>
              <w:rPr>
                <w:rFonts w:hint="eastAsia" w:cs="Times New Roman"/>
                <w:color w:val="auto"/>
                <w:kern w:val="2"/>
                <w:sz w:val="24"/>
                <w:szCs w:val="24"/>
                <w:highlight w:val="none"/>
                <w:lang w:val="en-US" w:eastAsia="zh-CN"/>
              </w:rPr>
              <w:t>永奎</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水产动物病害防控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水产养殖模式</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cs="Times New Roman"/>
                <w:color w:val="auto"/>
                <w:kern w:val="2"/>
                <w:sz w:val="24"/>
                <w:szCs w:val="24"/>
                <w:highlight w:val="none"/>
              </w:rPr>
              <w:t>标准编制组成员。负责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收集</w:t>
            </w:r>
            <w:r>
              <w:rPr>
                <w:rFonts w:hint="eastAsia" w:ascii="Times New Roman" w:hAnsi="Times New Roman" w:cs="Times New Roman"/>
                <w:color w:val="auto"/>
                <w:sz w:val="24"/>
                <w:szCs w:val="24"/>
                <w:highlight w:val="none"/>
                <w:lang w:eastAsia="zh-CN"/>
              </w:rPr>
              <w:t>、</w:t>
            </w:r>
            <w:r>
              <w:rPr>
                <w:rFonts w:hint="eastAsia" w:cs="Times New Roman"/>
                <w:color w:val="auto"/>
                <w:kern w:val="2"/>
                <w:sz w:val="24"/>
                <w:szCs w:val="24"/>
                <w:highlight w:val="none"/>
              </w:rPr>
              <w:t>编制说明撰写。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宋体" w:hAnsi="宋体" w:eastAsia="宋体" w:cs="Times New Roman"/>
                <w:color w:val="auto"/>
                <w:kern w:val="2"/>
                <w:sz w:val="24"/>
                <w:szCs w:val="24"/>
                <w:highlight w:val="none"/>
                <w:lang w:val="en-US" w:eastAsia="zh-CN" w:bidi="ar-SA"/>
              </w:rPr>
            </w:pPr>
            <w:r>
              <w:rPr>
                <w:rFonts w:hint="eastAsia" w:cs="Times New Roman"/>
                <w:color w:val="auto"/>
                <w:kern w:val="2"/>
                <w:sz w:val="24"/>
                <w:szCs w:val="24"/>
                <w:highlight w:val="none"/>
              </w:rPr>
              <w:t>付光中</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宋体" w:hAnsi="宋体"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eastAsia="zh-CN"/>
              </w:rPr>
              <w:t>湛江市质量技术监督标准与编码所</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标准制定</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ascii="Times New Roman" w:hAnsi="Times New Roman" w:cs="Times New Roman"/>
                <w:color w:val="auto"/>
                <w:sz w:val="24"/>
                <w:szCs w:val="24"/>
                <w:highlight w:val="none"/>
              </w:rPr>
              <w:t>标准编制组成员。负责修改标准和编制说明。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宋体" w:hAnsi="宋体"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rPr>
              <w:t>陈南雄</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color w:val="auto"/>
                <w:sz w:val="24"/>
                <w:szCs w:val="24"/>
                <w:highlight w:val="none"/>
              </w:rPr>
              <w:t>标准编制组成员。</w:t>
            </w:r>
            <w:r>
              <w:rPr>
                <w:rFonts w:hint="eastAsia" w:ascii="Times New Roman" w:hAnsi="Times New Roman" w:cs="Times New Roman"/>
                <w:color w:val="auto"/>
                <w:sz w:val="24"/>
                <w:szCs w:val="24"/>
                <w:highlight w:val="none"/>
              </w:rPr>
              <w:t>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宋体" w:hAnsi="宋体"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rPr>
              <w:t>靳娇娇</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ascii="Times New Roman" w:hAnsi="Times New Roman" w:eastAsia="宋体" w:cs="Times New Roman"/>
                <w:color w:val="auto"/>
                <w:kern w:val="0"/>
                <w:sz w:val="24"/>
                <w:szCs w:val="24"/>
                <w:highlight w:val="none"/>
                <w:lang w:val="en-US" w:eastAsia="zh-CN" w:bidi="ar-SA"/>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ascii="Times New Roman" w:hAnsi="Times New Roman" w:cs="Times New Roman"/>
                <w:color w:val="auto"/>
                <w:sz w:val="24"/>
                <w:szCs w:val="24"/>
                <w:highlight w:val="none"/>
              </w:rPr>
              <w:t>标准编制组成员。负责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default"/>
                <w:color w:val="auto"/>
                <w:sz w:val="24"/>
                <w:szCs w:val="24"/>
                <w:highlight w:val="none"/>
                <w:lang w:val="en-US" w:eastAsia="zh-CN"/>
              </w:rPr>
            </w:pPr>
            <w:r>
              <w:rPr>
                <w:rFonts w:hint="eastAsia"/>
                <w:color w:val="auto"/>
                <w:sz w:val="24"/>
                <w:szCs w:val="24"/>
                <w:highlight w:val="none"/>
                <w:lang w:val="en-US" w:eastAsia="zh-CN"/>
              </w:rPr>
              <w:t>吴子杰</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color w:val="auto"/>
                <w:sz w:val="24"/>
                <w:szCs w:val="24"/>
                <w:highlight w:val="none"/>
                <w:lang w:eastAsia="zh-CN"/>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水产动物营养</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cs="Times New Roman"/>
                <w:b w:val="0"/>
                <w:bCs w:val="0"/>
                <w:color w:val="auto"/>
                <w:sz w:val="24"/>
                <w:szCs w:val="24"/>
                <w:highlight w:val="none"/>
                <w:vertAlign w:val="baseline"/>
                <w:lang w:val="en-US" w:eastAsia="zh-CN"/>
              </w:rPr>
            </w:pPr>
            <w:r>
              <w:rPr>
                <w:rFonts w:hint="eastAsia" w:ascii="Times New Roman" w:hAnsi="Times New Roman" w:cs="Times New Roman"/>
                <w:color w:val="auto"/>
                <w:sz w:val="24"/>
                <w:szCs w:val="24"/>
                <w:highlight w:val="none"/>
              </w:rPr>
              <w:t>标准编制组成员。负责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olor w:val="auto"/>
                <w:sz w:val="24"/>
                <w:szCs w:val="24"/>
                <w:highlight w:val="none"/>
                <w:lang w:val="en-US" w:eastAsia="zh-CN"/>
              </w:rPr>
              <w:t>黄世苗</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color w:val="auto"/>
                <w:sz w:val="24"/>
                <w:szCs w:val="24"/>
                <w:highlight w:val="none"/>
                <w:lang w:eastAsia="zh-CN"/>
              </w:rPr>
              <w:t>南方海洋科学与工程广东省实验室（湛江）</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ascii="宋体" w:hAnsi="宋体" w:eastAsia="宋体" w:cs="Times New Roman"/>
                <w:b w:val="0"/>
                <w:bCs w:val="0"/>
                <w:color w:val="auto"/>
                <w:kern w:val="0"/>
                <w:sz w:val="24"/>
                <w:szCs w:val="24"/>
                <w:highlight w:val="none"/>
                <w:vertAlign w:val="baseline"/>
                <w:lang w:val="en-US" w:eastAsia="zh-CN" w:bidi="ar-SA"/>
              </w:rPr>
            </w:pPr>
            <w:r>
              <w:rPr>
                <w:rFonts w:hint="eastAsia" w:ascii="Times New Roman" w:hAnsi="Times New Roman" w:cs="Times New Roman"/>
                <w:color w:val="auto"/>
                <w:sz w:val="24"/>
                <w:szCs w:val="24"/>
                <w:highlight w:val="none"/>
              </w:rPr>
              <w:t>标准编制组成员。负责</w:t>
            </w:r>
            <w:r>
              <w:rPr>
                <w:rFonts w:hint="eastAsia" w:ascii="Times New Roman" w:hAnsi="Times New Roman" w:cs="Times New Roman"/>
                <w:color w:val="auto"/>
                <w:sz w:val="24"/>
                <w:szCs w:val="24"/>
                <w:highlight w:val="none"/>
                <w:lang w:val="en-US" w:eastAsia="zh-CN"/>
              </w:rPr>
              <w:t>资料</w:t>
            </w:r>
            <w:r>
              <w:rPr>
                <w:rFonts w:hint="eastAsia" w:ascii="Times New Roman" w:hAnsi="Times New Roman" w:cs="Times New Roman"/>
                <w:color w:val="auto"/>
                <w:sz w:val="24"/>
                <w:szCs w:val="24"/>
                <w:highlight w:val="none"/>
              </w:rPr>
              <w:t>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olor w:val="auto"/>
                <w:sz w:val="24"/>
                <w:szCs w:val="24"/>
                <w:highlight w:val="none"/>
              </w:rPr>
              <w:t>刘定</w:t>
            </w:r>
          </w:p>
        </w:tc>
        <w:tc>
          <w:tcPr>
            <w:tcW w:w="2440"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default" w:cs="Times New Roman"/>
                <w:color w:val="auto"/>
                <w:sz w:val="24"/>
                <w:szCs w:val="24"/>
                <w:highlight w:val="none"/>
                <w:lang w:eastAsia="zh-CN"/>
              </w:rPr>
            </w:pPr>
            <w:r>
              <w:rPr>
                <w:rFonts w:hint="default" w:cs="Times New Roman"/>
                <w:color w:val="auto"/>
                <w:sz w:val="24"/>
                <w:szCs w:val="24"/>
                <w:highlight w:val="none"/>
                <w:lang w:eastAsia="zh-CN"/>
              </w:rPr>
              <w:t>广东海威农业集团</w:t>
            </w:r>
          </w:p>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default" w:cs="Times New Roman"/>
                <w:color w:val="auto"/>
                <w:sz w:val="24"/>
                <w:szCs w:val="24"/>
                <w:highlight w:val="none"/>
                <w:lang w:eastAsia="zh-CN"/>
              </w:rPr>
              <w:t>有限公司</w:t>
            </w:r>
          </w:p>
        </w:tc>
        <w:tc>
          <w:tcPr>
            <w:tcW w:w="21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eastAsia"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水产养殖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8" w:lineRule="auto"/>
              <w:jc w:val="center"/>
              <w:textAlignment w:val="auto"/>
              <w:rPr>
                <w:rFonts w:hint="default" w:cs="Times New Roman"/>
                <w:b w:val="0"/>
                <w:bCs w:val="0"/>
                <w:color w:val="auto"/>
                <w:sz w:val="24"/>
                <w:szCs w:val="24"/>
                <w:highlight w:val="none"/>
                <w:vertAlign w:val="baseline"/>
                <w:lang w:val="en-US" w:eastAsia="zh-CN"/>
              </w:rPr>
            </w:pPr>
            <w:r>
              <w:rPr>
                <w:rFonts w:hint="eastAsia" w:cs="Times New Roman"/>
                <w:b w:val="0"/>
                <w:bCs w:val="0"/>
                <w:color w:val="auto"/>
                <w:sz w:val="24"/>
                <w:szCs w:val="24"/>
                <w:highlight w:val="none"/>
                <w:vertAlign w:val="baseline"/>
                <w:lang w:val="en-US" w:eastAsia="zh-CN"/>
              </w:rPr>
              <w:t>企业管理</w:t>
            </w:r>
          </w:p>
        </w:tc>
        <w:tc>
          <w:tcPr>
            <w:tcW w:w="3746"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88" w:lineRule="auto"/>
              <w:jc w:val="left"/>
              <w:textAlignment w:val="auto"/>
              <w:rPr>
                <w:rFonts w:hint="eastAsia" w:ascii="宋体" w:hAnsi="宋体" w:eastAsia="宋体" w:cs="Times New Roman"/>
                <w:b w:val="0"/>
                <w:bCs w:val="0"/>
                <w:color w:val="auto"/>
                <w:kern w:val="0"/>
                <w:sz w:val="24"/>
                <w:szCs w:val="24"/>
                <w:highlight w:val="none"/>
                <w:vertAlign w:val="baseline"/>
                <w:lang w:val="en-US" w:eastAsia="zh-CN" w:bidi="ar-SA"/>
              </w:rPr>
            </w:pPr>
            <w:r>
              <w:rPr>
                <w:rFonts w:hint="eastAsia" w:ascii="Times New Roman" w:hAnsi="Times New Roman" w:cs="Times New Roman"/>
                <w:color w:val="auto"/>
                <w:sz w:val="24"/>
                <w:szCs w:val="24"/>
                <w:highlight w:val="none"/>
              </w:rPr>
              <w:t>标准编制组成员。负责提供材料和搜集数据。</w:t>
            </w:r>
          </w:p>
        </w:tc>
      </w:tr>
    </w:tbl>
    <w:p>
      <w:pPr>
        <w:pStyle w:val="19"/>
        <w:widowControl w:val="0"/>
        <w:numPr>
          <w:ilvl w:val="0"/>
          <w:numId w:val="0"/>
        </w:numPr>
        <w:spacing w:line="360" w:lineRule="auto"/>
        <w:ind w:firstLine="482" w:firstLineChars="200"/>
        <w:jc w:val="both"/>
        <w:rPr>
          <w:rFonts w:hint="eastAsia" w:ascii="Times New Roman" w:hAnsi="Times New Roman" w:cs="Times New Roman"/>
          <w:b/>
          <w:bCs/>
          <w:color w:val="auto"/>
          <w:highlight w:val="none"/>
        </w:rPr>
      </w:pPr>
      <w:r>
        <w:rPr>
          <w:rFonts w:hint="eastAsia" w:ascii="Times New Roman" w:hAnsi="Times New Roman" w:cs="Times New Roman"/>
          <w:b/>
          <w:bCs/>
          <w:color w:val="auto"/>
          <w:highlight w:val="none"/>
          <w:lang w:val="en-US" w:eastAsia="zh-CN"/>
        </w:rPr>
        <w:t>1.2资料</w:t>
      </w:r>
      <w:r>
        <w:rPr>
          <w:rFonts w:hint="eastAsia" w:ascii="Times New Roman" w:hAnsi="Times New Roman" w:cs="Times New Roman"/>
          <w:b/>
          <w:bCs/>
          <w:color w:val="auto"/>
          <w:highlight w:val="none"/>
        </w:rPr>
        <w:t>搜集</w:t>
      </w:r>
    </w:p>
    <w:p>
      <w:pPr>
        <w:pStyle w:val="19"/>
        <w:widowControl w:val="0"/>
        <w:numPr>
          <w:ilvl w:val="0"/>
          <w:numId w:val="0"/>
        </w:numPr>
        <w:spacing w:line="360" w:lineRule="auto"/>
        <w:ind w:firstLine="480" w:firstLineChars="200"/>
        <w:jc w:val="both"/>
        <w:rPr>
          <w:rFonts w:hint="default" w:cs="Times New Roman"/>
          <w:b w:val="0"/>
          <w:bCs w:val="0"/>
          <w:color w:val="auto"/>
          <w:highlight w:val="none"/>
          <w:lang w:val="en-US" w:eastAsia="zh-CN"/>
        </w:rPr>
      </w:pPr>
      <w:r>
        <w:rPr>
          <w:rFonts w:hint="eastAsia" w:cs="Times New Roman"/>
          <w:b w:val="0"/>
          <w:bCs w:val="0"/>
          <w:color w:val="auto"/>
          <w:highlight w:val="none"/>
          <w:lang w:val="en-US" w:eastAsia="zh-CN"/>
        </w:rPr>
        <w:t>标准起草小组根据任务分工开展文献资料搜集和现场调研。文献资料包括国内已发布的相关标准、法律法规文件、政策文件和学术文献。现场调研了广东、海南、广西等军曹鱼主产区的养殖情况进行了调研，总结了好的经验，并对存在的问题也进行了总结。</w:t>
      </w:r>
    </w:p>
    <w:p>
      <w:pPr>
        <w:pStyle w:val="19"/>
        <w:widowControl w:val="0"/>
        <w:numPr>
          <w:ilvl w:val="0"/>
          <w:numId w:val="0"/>
        </w:numPr>
        <w:spacing w:line="360" w:lineRule="auto"/>
        <w:ind w:firstLine="482" w:firstLineChars="200"/>
        <w:jc w:val="both"/>
        <w:rPr>
          <w:rFonts w:hint="eastAsia" w:cs="Times New Roman"/>
          <w:b/>
          <w:bCs/>
          <w:color w:val="auto"/>
          <w:highlight w:val="none"/>
        </w:rPr>
      </w:pPr>
      <w:r>
        <w:rPr>
          <w:rFonts w:hint="eastAsia" w:cs="Times New Roman"/>
          <w:b/>
          <w:bCs/>
          <w:color w:val="auto"/>
          <w:highlight w:val="none"/>
          <w:lang w:val="en-US" w:eastAsia="zh-CN"/>
        </w:rPr>
        <w:t>1.3文件的</w:t>
      </w:r>
      <w:r>
        <w:rPr>
          <w:rFonts w:hint="eastAsia" w:cs="Times New Roman"/>
          <w:b/>
          <w:bCs/>
          <w:color w:val="auto"/>
          <w:highlight w:val="none"/>
        </w:rPr>
        <w:t>起草</w:t>
      </w:r>
    </w:p>
    <w:p>
      <w:pPr>
        <w:pStyle w:val="19"/>
        <w:widowControl w:val="0"/>
        <w:numPr>
          <w:ilvl w:val="0"/>
          <w:numId w:val="0"/>
        </w:numPr>
        <w:spacing w:line="360" w:lineRule="auto"/>
        <w:ind w:firstLine="480" w:firstLineChars="200"/>
        <w:jc w:val="both"/>
        <w:rPr>
          <w:rFonts w:hint="eastAsia" w:cs="Times New Roman"/>
          <w:color w:val="auto"/>
          <w:highlight w:val="none"/>
        </w:rPr>
      </w:pPr>
      <w:r>
        <w:rPr>
          <w:rFonts w:cs="Times New Roman"/>
          <w:color w:val="auto"/>
          <w:highlight w:val="none"/>
        </w:rPr>
        <w:t>202</w:t>
      </w:r>
      <w:r>
        <w:rPr>
          <w:rFonts w:hint="eastAsia" w:cs="Times New Roman"/>
          <w:color w:val="auto"/>
          <w:highlight w:val="none"/>
          <w:lang w:val="en-US" w:eastAsia="zh-CN"/>
        </w:rPr>
        <w:t>5</w:t>
      </w:r>
      <w:r>
        <w:rPr>
          <w:rFonts w:cs="Times New Roman"/>
          <w:color w:val="auto"/>
          <w:highlight w:val="none"/>
        </w:rPr>
        <w:t>年</w:t>
      </w:r>
      <w:r>
        <w:rPr>
          <w:rFonts w:hint="eastAsia" w:cs="Times New Roman"/>
          <w:color w:val="auto"/>
          <w:highlight w:val="none"/>
          <w:lang w:val="en-US" w:eastAsia="zh-CN"/>
        </w:rPr>
        <w:t>3</w:t>
      </w:r>
      <w:r>
        <w:rPr>
          <w:rFonts w:cs="Times New Roman"/>
          <w:color w:val="auto"/>
          <w:highlight w:val="none"/>
        </w:rPr>
        <w:t>月～202</w:t>
      </w:r>
      <w:r>
        <w:rPr>
          <w:rFonts w:hint="eastAsia" w:cs="Times New Roman"/>
          <w:color w:val="auto"/>
          <w:highlight w:val="none"/>
          <w:lang w:val="en-US" w:eastAsia="zh-CN"/>
        </w:rPr>
        <w:t>5</w:t>
      </w:r>
      <w:r>
        <w:rPr>
          <w:rFonts w:cs="Times New Roman"/>
          <w:color w:val="auto"/>
          <w:highlight w:val="none"/>
        </w:rPr>
        <w:t>年</w:t>
      </w:r>
      <w:r>
        <w:rPr>
          <w:rFonts w:hint="eastAsia" w:cs="Times New Roman"/>
          <w:color w:val="auto"/>
          <w:highlight w:val="none"/>
          <w:lang w:val="en-US" w:eastAsia="zh-CN"/>
        </w:rPr>
        <w:t>4</w:t>
      </w:r>
      <w:r>
        <w:rPr>
          <w:rFonts w:cs="Times New Roman"/>
          <w:color w:val="auto"/>
          <w:highlight w:val="none"/>
        </w:rPr>
        <w:t>月，</w:t>
      </w:r>
      <w:r>
        <w:rPr>
          <w:rFonts w:hint="eastAsia" w:cs="Times New Roman"/>
          <w:color w:val="auto"/>
          <w:highlight w:val="none"/>
          <w:lang w:val="en-US" w:eastAsia="zh-CN"/>
        </w:rPr>
        <w:t>在</w:t>
      </w:r>
      <w:r>
        <w:rPr>
          <w:rFonts w:hint="eastAsia" w:cs="Times New Roman"/>
          <w:b w:val="0"/>
          <w:bCs w:val="0"/>
          <w:color w:val="auto"/>
          <w:highlight w:val="none"/>
          <w:lang w:val="en-US" w:eastAsia="zh-CN"/>
        </w:rPr>
        <w:t>文献资料搜集和现场调研基础上，</w:t>
      </w:r>
      <w:r>
        <w:rPr>
          <w:rFonts w:cs="Times New Roman"/>
          <w:color w:val="auto"/>
          <w:highlight w:val="none"/>
        </w:rPr>
        <w:t>标准起草小组</w:t>
      </w:r>
      <w:r>
        <w:rPr>
          <w:rFonts w:hint="eastAsia" w:cs="Times New Roman"/>
          <w:color w:val="auto"/>
          <w:highlight w:val="none"/>
          <w:lang w:val="en-US" w:eastAsia="zh-CN"/>
        </w:rPr>
        <w:t>通过</w:t>
      </w:r>
      <w:r>
        <w:rPr>
          <w:rFonts w:hint="eastAsia" w:cs="Times New Roman"/>
          <w:color w:val="auto"/>
          <w:highlight w:val="none"/>
        </w:rPr>
        <w:t>对</w:t>
      </w:r>
      <w:r>
        <w:rPr>
          <w:rFonts w:hint="eastAsia" w:cs="Times New Roman"/>
          <w:b w:val="0"/>
          <w:bCs w:val="0"/>
          <w:color w:val="auto"/>
          <w:highlight w:val="none"/>
          <w:lang w:val="en-US" w:eastAsia="zh-CN"/>
        </w:rPr>
        <w:t>军曹鱼养殖及病害防控</w:t>
      </w:r>
      <w:r>
        <w:rPr>
          <w:rFonts w:hint="eastAsia" w:cs="Times New Roman"/>
          <w:color w:val="auto"/>
          <w:highlight w:val="none"/>
        </w:rPr>
        <w:t>等方面的</w:t>
      </w:r>
      <w:r>
        <w:rPr>
          <w:rFonts w:hint="eastAsia" w:cs="Times New Roman"/>
          <w:color w:val="auto"/>
          <w:highlight w:val="none"/>
          <w:lang w:val="en-US" w:eastAsia="zh-CN"/>
        </w:rPr>
        <w:t>资料整理</w:t>
      </w:r>
      <w:r>
        <w:rPr>
          <w:rFonts w:hint="eastAsia" w:cs="Times New Roman"/>
          <w:color w:val="auto"/>
          <w:highlight w:val="none"/>
        </w:rPr>
        <w:t>整理，</w:t>
      </w:r>
      <w:r>
        <w:rPr>
          <w:rFonts w:hint="eastAsia" w:cs="Times New Roman"/>
          <w:color w:val="auto"/>
          <w:highlight w:val="none"/>
          <w:lang w:val="en-US" w:eastAsia="zh-CN"/>
        </w:rPr>
        <w:t>完成</w:t>
      </w:r>
      <w:r>
        <w:rPr>
          <w:rFonts w:hint="eastAsia" w:cs="Times New Roman"/>
          <w:color w:val="auto"/>
          <w:highlight w:val="none"/>
        </w:rPr>
        <w:t>了《</w:t>
      </w:r>
      <w:r>
        <w:rPr>
          <w:rFonts w:hint="eastAsia" w:cs="Times New Roman"/>
          <w:color w:val="auto"/>
          <w:highlight w:val="none"/>
          <w:lang w:eastAsia="zh-CN"/>
        </w:rPr>
        <w:t>军曹鱼深远海平台养殖技术规程</w:t>
      </w:r>
      <w:r>
        <w:rPr>
          <w:rFonts w:hint="eastAsia" w:cs="Times New Roman"/>
          <w:color w:val="auto"/>
          <w:highlight w:val="none"/>
        </w:rPr>
        <w:t>》</w:t>
      </w:r>
      <w:r>
        <w:rPr>
          <w:rFonts w:hint="eastAsia" w:cs="Times New Roman"/>
          <w:color w:val="auto"/>
          <w:highlight w:val="none"/>
          <w:lang w:eastAsia="zh-CN"/>
        </w:rPr>
        <w:t>标准（草案）及编制说明（草案）。</w:t>
      </w:r>
      <w:r>
        <w:rPr>
          <w:rFonts w:hint="eastAsia" w:cs="Times New Roman"/>
          <w:color w:val="auto"/>
          <w:highlight w:val="none"/>
          <w:lang w:val="en-US" w:eastAsia="zh-CN"/>
        </w:rPr>
        <w:t>2025年6月，标准起草小</w:t>
      </w:r>
      <w:r>
        <w:rPr>
          <w:rFonts w:hint="eastAsia" w:cs="Times New Roman"/>
          <w:color w:val="auto"/>
          <w:highlight w:val="none"/>
        </w:rPr>
        <w:t>组多次召开标准讨论会，吸纳各方意见，对标准</w:t>
      </w:r>
      <w:r>
        <w:rPr>
          <w:rFonts w:hint="eastAsia" w:cs="Times New Roman"/>
          <w:color w:val="auto"/>
          <w:highlight w:val="none"/>
          <w:lang w:val="en-US" w:eastAsia="zh-CN"/>
        </w:rPr>
        <w:t>草案</w:t>
      </w:r>
      <w:r>
        <w:rPr>
          <w:rFonts w:hint="eastAsia" w:cs="Times New Roman"/>
          <w:color w:val="auto"/>
          <w:highlight w:val="none"/>
        </w:rPr>
        <w:t>进行了完善性修改，形成了征求意见稿</w:t>
      </w:r>
      <w:r>
        <w:rPr>
          <w:rFonts w:hint="eastAsia" w:cs="Times New Roman"/>
          <w:color w:val="auto"/>
          <w:highlight w:val="none"/>
          <w:lang w:val="en-US" w:eastAsia="zh-CN"/>
        </w:rPr>
        <w:t>和编制说明</w:t>
      </w:r>
      <w:r>
        <w:rPr>
          <w:rFonts w:hint="eastAsia" w:cs="Times New Roman"/>
          <w:color w:val="auto"/>
          <w:highlight w:val="none"/>
        </w:rPr>
        <w:t>。</w:t>
      </w:r>
    </w:p>
    <w:p>
      <w:pPr>
        <w:pStyle w:val="19"/>
        <w:widowControl w:val="0"/>
        <w:numPr>
          <w:ilvl w:val="0"/>
          <w:numId w:val="0"/>
        </w:numPr>
        <w:spacing w:line="360" w:lineRule="auto"/>
        <w:ind w:firstLine="482" w:firstLineChars="200"/>
        <w:jc w:val="both"/>
        <w:rPr>
          <w:rFonts w:hint="eastAsia" w:cs="Times New Roman"/>
          <w:b/>
          <w:bCs/>
          <w:color w:val="auto"/>
          <w:highlight w:val="none"/>
          <w:lang w:val="en-US" w:eastAsia="zh-CN"/>
        </w:rPr>
      </w:pPr>
      <w:r>
        <w:rPr>
          <w:rFonts w:hint="eastAsia" w:cs="Times New Roman"/>
          <w:b/>
          <w:bCs/>
          <w:color w:val="auto"/>
          <w:highlight w:val="none"/>
          <w:lang w:val="en-US" w:eastAsia="zh-CN"/>
        </w:rPr>
        <w:t>2征求意见阶段</w:t>
      </w:r>
    </w:p>
    <w:p>
      <w:pPr>
        <w:pStyle w:val="19"/>
        <w:widowControl w:val="0"/>
        <w:numPr>
          <w:ilvl w:val="0"/>
          <w:numId w:val="0"/>
        </w:numPr>
        <w:spacing w:line="360" w:lineRule="auto"/>
        <w:ind w:firstLine="480" w:firstLineChars="200"/>
        <w:jc w:val="both"/>
        <w:rPr>
          <w:rFonts w:hint="default" w:ascii="宋体" w:hAnsi="宋体" w:eastAsia="宋体"/>
          <w:color w:val="auto"/>
          <w:sz w:val="24"/>
          <w:szCs w:val="28"/>
          <w:highlight w:val="none"/>
          <w:lang w:val="en-US" w:eastAsia="zh-CN"/>
        </w:rPr>
      </w:pPr>
      <w:r>
        <w:rPr>
          <w:rFonts w:hint="eastAsia" w:ascii="宋体" w:hAnsi="宋体" w:eastAsia="宋体"/>
          <w:color w:val="auto"/>
          <w:sz w:val="24"/>
          <w:szCs w:val="28"/>
          <w:highlight w:val="none"/>
        </w:rPr>
        <w:t>202</w:t>
      </w:r>
      <w:r>
        <w:rPr>
          <w:rFonts w:hint="eastAsia" w:ascii="宋体" w:hAnsi="宋体" w:eastAsia="宋体"/>
          <w:color w:val="auto"/>
          <w:sz w:val="24"/>
          <w:szCs w:val="28"/>
          <w:highlight w:val="none"/>
          <w:lang w:val="en-US" w:eastAsia="zh-CN"/>
        </w:rPr>
        <w:t>5</w:t>
      </w:r>
      <w:r>
        <w:rPr>
          <w:rFonts w:hint="eastAsia"/>
          <w:color w:val="auto"/>
          <w:sz w:val="24"/>
          <w:szCs w:val="28"/>
          <w:highlight w:val="none"/>
          <w:lang w:val="en-US" w:eastAsia="zh-CN"/>
        </w:rPr>
        <w:t>年</w:t>
      </w:r>
      <w:r>
        <w:rPr>
          <w:rFonts w:hint="eastAsia" w:ascii="Times New Roman" w:hAnsi="Times New Roman" w:eastAsia="宋体"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val="en-US" w:eastAsia="zh-CN"/>
        </w:rPr>
        <w:t>月，</w:t>
      </w:r>
      <w:r>
        <w:rPr>
          <w:rFonts w:hint="eastAsia" w:ascii="宋体" w:hAnsi="宋体" w:eastAsia="宋体"/>
          <w:color w:val="auto"/>
          <w:sz w:val="24"/>
          <w:szCs w:val="28"/>
          <w:highlight w:val="none"/>
          <w:lang w:val="en-US" w:eastAsia="zh-CN"/>
        </w:rPr>
        <w:t>标准起草小组</w:t>
      </w:r>
      <w:r>
        <w:rPr>
          <w:rFonts w:hint="eastAsia" w:ascii="宋体" w:hAnsi="宋体" w:eastAsia="宋体"/>
          <w:color w:val="auto"/>
          <w:sz w:val="24"/>
          <w:szCs w:val="28"/>
          <w:highlight w:val="none"/>
        </w:rPr>
        <w:t>将《</w:t>
      </w:r>
      <w:r>
        <w:rPr>
          <w:rFonts w:hint="eastAsia" w:cs="Times New Roman"/>
          <w:color w:val="auto"/>
          <w:highlight w:val="none"/>
          <w:lang w:eastAsia="zh-CN"/>
        </w:rPr>
        <w:t>军曹鱼深远海平台养殖技术规程（</w:t>
      </w:r>
      <w:r>
        <w:rPr>
          <w:rFonts w:hint="eastAsia" w:ascii="宋体" w:hAnsi="宋体" w:eastAsia="宋体"/>
          <w:color w:val="auto"/>
          <w:sz w:val="24"/>
          <w:szCs w:val="28"/>
          <w:highlight w:val="none"/>
        </w:rPr>
        <w:t>征求意见稿</w:t>
      </w:r>
      <w:r>
        <w:rPr>
          <w:rFonts w:hint="eastAsia" w:cs="Times New Roman"/>
          <w:color w:val="auto"/>
          <w:highlight w:val="none"/>
          <w:lang w:eastAsia="zh-CN"/>
        </w:rPr>
        <w:t>）</w:t>
      </w:r>
      <w:r>
        <w:rPr>
          <w:rFonts w:hint="eastAsia" w:ascii="宋体" w:hAnsi="宋体" w:eastAsia="宋体"/>
          <w:color w:val="auto"/>
          <w:sz w:val="24"/>
          <w:szCs w:val="28"/>
          <w:highlight w:val="none"/>
        </w:rPr>
        <w:t>》发送</w:t>
      </w:r>
      <w:r>
        <w:rPr>
          <w:rFonts w:hint="eastAsia"/>
          <w:color w:val="auto"/>
          <w:sz w:val="24"/>
          <w:szCs w:val="28"/>
          <w:highlight w:val="none"/>
          <w:lang w:val="en-US" w:eastAsia="zh-CN"/>
        </w:rPr>
        <w:t>湛江</w:t>
      </w:r>
      <w:r>
        <w:rPr>
          <w:rFonts w:hint="eastAsia" w:ascii="宋体" w:hAnsi="宋体" w:eastAsia="宋体"/>
          <w:color w:val="auto"/>
          <w:sz w:val="24"/>
          <w:szCs w:val="28"/>
          <w:highlight w:val="none"/>
        </w:rPr>
        <w:t>市标准化主管部门，行业协会以及科研院所和各类型社会组织，广泛征集意见</w:t>
      </w:r>
      <w:r>
        <w:rPr>
          <w:rFonts w:hint="eastAsia"/>
          <w:color w:val="auto"/>
          <w:sz w:val="24"/>
          <w:szCs w:val="28"/>
          <w:highlight w:val="none"/>
          <w:lang w:eastAsia="zh-CN"/>
        </w:rPr>
        <w:t>，</w:t>
      </w:r>
      <w:r>
        <w:rPr>
          <w:rFonts w:hint="eastAsia" w:ascii="宋体" w:hAnsi="宋体" w:eastAsia="宋体"/>
          <w:color w:val="auto"/>
          <w:sz w:val="24"/>
          <w:szCs w:val="28"/>
          <w:highlight w:val="none"/>
          <w:lang w:val="en-US" w:eastAsia="zh-CN"/>
        </w:rPr>
        <w:t>并在湛江市质量监督管理局门户网站</w:t>
      </w:r>
      <w:r>
        <w:rPr>
          <w:rFonts w:hint="eastAsia" w:ascii="宋体" w:hAnsi="宋体" w:eastAsia="宋体"/>
          <w:color w:val="auto"/>
          <w:sz w:val="24"/>
          <w:szCs w:val="28"/>
          <w:highlight w:val="none"/>
        </w:rPr>
        <w:t>向社会公开征求意见；希望通过前期的深入调研、精心充分的准备，以及反复多次的研究探讨，辅助本次的广征意见，促使本标准在编写格式上日趋规范，在核心内容方面亦日臻完善和成熟。 在专家意见基础上进行修改完善，</w:t>
      </w:r>
      <w:r>
        <w:rPr>
          <w:rFonts w:hint="eastAsia"/>
          <w:color w:val="auto"/>
          <w:sz w:val="24"/>
          <w:szCs w:val="28"/>
          <w:highlight w:val="none"/>
          <w:lang w:val="en-US" w:eastAsia="zh-CN"/>
        </w:rPr>
        <w:t>并于</w:t>
      </w:r>
      <w:r>
        <w:rPr>
          <w:rFonts w:hint="eastAsia" w:ascii="宋体" w:hAnsi="宋体" w:eastAsia="宋体"/>
          <w:color w:val="auto"/>
          <w:sz w:val="24"/>
          <w:szCs w:val="28"/>
          <w:highlight w:val="none"/>
        </w:rPr>
        <w:t>202</w:t>
      </w:r>
      <w:r>
        <w:rPr>
          <w:rFonts w:hint="eastAsia" w:ascii="宋体" w:hAnsi="宋体" w:eastAsia="宋体"/>
          <w:color w:val="auto"/>
          <w:sz w:val="24"/>
          <w:szCs w:val="28"/>
          <w:highlight w:val="none"/>
          <w:lang w:val="en-US" w:eastAsia="zh-CN"/>
        </w:rPr>
        <w:t>5</w:t>
      </w:r>
      <w:r>
        <w:rPr>
          <w:rFonts w:hint="eastAsia" w:ascii="宋体" w:hAnsi="宋体" w:eastAsia="宋体"/>
          <w:color w:val="auto"/>
          <w:sz w:val="24"/>
          <w:szCs w:val="28"/>
          <w:highlight w:val="none"/>
        </w:rPr>
        <w:t>年</w:t>
      </w:r>
      <w:r>
        <w:rPr>
          <w:rFonts w:hint="eastAsia" w:ascii="Times New Roman" w:hAnsi="Times New Roman" w:eastAsia="宋体"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val="en-US" w:eastAsia="zh-CN"/>
        </w:rPr>
        <w:t>月</w:t>
      </w:r>
      <w:r>
        <w:rPr>
          <w:rFonts w:hint="eastAsia" w:ascii="宋体" w:hAnsi="宋体" w:eastAsia="宋体"/>
          <w:color w:val="auto"/>
          <w:sz w:val="24"/>
          <w:szCs w:val="28"/>
          <w:highlight w:val="none"/>
        </w:rPr>
        <w:t>形成标准送审稿。</w:t>
      </w:r>
    </w:p>
    <w:p>
      <w:pPr>
        <w:pStyle w:val="19"/>
        <w:widowControl w:val="0"/>
        <w:numPr>
          <w:ilvl w:val="0"/>
          <w:numId w:val="0"/>
        </w:numPr>
        <w:spacing w:line="360" w:lineRule="auto"/>
        <w:ind w:firstLine="482" w:firstLineChars="200"/>
        <w:jc w:val="both"/>
        <w:rPr>
          <w:rFonts w:hint="eastAsia" w:cs="Times New Roman"/>
          <w:b/>
          <w:bCs/>
          <w:color w:val="auto"/>
          <w:highlight w:val="none"/>
          <w:lang w:val="en-US" w:eastAsia="zh-CN"/>
        </w:rPr>
      </w:pPr>
      <w:r>
        <w:rPr>
          <w:rFonts w:hint="eastAsia" w:cs="Times New Roman"/>
          <w:b/>
          <w:bCs/>
          <w:color w:val="auto"/>
          <w:highlight w:val="none"/>
          <w:lang w:val="en-US" w:eastAsia="zh-CN"/>
        </w:rPr>
        <w:t>3技术审查阶段</w:t>
      </w:r>
    </w:p>
    <w:p>
      <w:pPr>
        <w:spacing w:line="360" w:lineRule="auto"/>
        <w:ind w:firstLine="480" w:firstLineChars="200"/>
        <w:jc w:val="left"/>
        <w:outlineLvl w:val="1"/>
        <w:rPr>
          <w:rFonts w:hint="eastAsia" w:cs="Times New Roman"/>
          <w:b/>
          <w:bCs/>
          <w:color w:val="auto"/>
          <w:highlight w:val="none"/>
          <w:lang w:val="en-US" w:eastAsia="zh-CN"/>
        </w:rPr>
      </w:pPr>
      <w:r>
        <w:rPr>
          <w:rFonts w:hint="eastAsia" w:ascii="Times New Roman" w:hAnsi="Times New Roman" w:eastAsia="宋体" w:cs="Times New Roman"/>
          <w:color w:val="auto"/>
          <w:sz w:val="24"/>
          <w:szCs w:val="24"/>
          <w:highlight w:val="none"/>
          <w:lang w:val="en-US" w:eastAsia="zh-CN"/>
        </w:rPr>
        <w:t>2025年**月**日，</w:t>
      </w:r>
      <w:r>
        <w:rPr>
          <w:rFonts w:hint="eastAsia" w:ascii="宋体" w:hAnsi="宋体" w:cs="宋体"/>
          <w:sz w:val="24"/>
          <w:szCs w:val="24"/>
        </w:rPr>
        <w:t>湛江市市场监督管理</w:t>
      </w:r>
      <w:r>
        <w:rPr>
          <w:rFonts w:hint="eastAsia"/>
          <w:color w:val="auto"/>
          <w:sz w:val="24"/>
          <w:szCs w:val="24"/>
          <w:highlight w:val="none"/>
          <w:lang w:val="en-US" w:eastAsia="zh-CN"/>
        </w:rPr>
        <w:t>局</w:t>
      </w:r>
      <w:r>
        <w:rPr>
          <w:rFonts w:hint="eastAsia" w:eastAsia="宋体"/>
          <w:color w:val="auto"/>
          <w:sz w:val="24"/>
          <w:szCs w:val="24"/>
          <w:highlight w:val="none"/>
          <w:lang w:val="en-US" w:eastAsia="zh-CN"/>
        </w:rPr>
        <w:t>组织专家</w:t>
      </w:r>
      <w:r>
        <w:rPr>
          <w:rFonts w:hint="eastAsia" w:cs="Times New Roman"/>
          <w:color w:val="auto"/>
          <w:sz w:val="24"/>
          <w:szCs w:val="24"/>
          <w:highlight w:val="none"/>
          <w:lang w:val="en-US" w:eastAsia="zh-CN"/>
        </w:rPr>
        <w:t>在</w:t>
      </w:r>
      <w:r>
        <w:rPr>
          <w:rFonts w:hint="eastAsia" w:ascii="Times New Roman" w:hAnsi="Times New Roman" w:eastAsia="宋体" w:cs="Times New Roman"/>
          <w:color w:val="auto"/>
          <w:sz w:val="24"/>
          <w:szCs w:val="24"/>
          <w:highlight w:val="none"/>
          <w:lang w:val="en-US" w:eastAsia="zh-CN"/>
        </w:rPr>
        <w:t>****召开了标准审查会</w:t>
      </w:r>
      <w:r>
        <w:rPr>
          <w:rFonts w:hint="eastAsia"/>
          <w:color w:val="auto"/>
          <w:szCs w:val="21"/>
          <w:highlight w:val="none"/>
        </w:rPr>
        <w:t>，</w:t>
      </w:r>
      <w:r>
        <w:rPr>
          <w:rFonts w:hint="eastAsia" w:ascii="Times New Roman" w:hAnsi="Times New Roman" w:eastAsia="宋体" w:cs="Times New Roman"/>
          <w:color w:val="auto"/>
          <w:sz w:val="24"/>
          <w:szCs w:val="24"/>
          <w:highlight w:val="none"/>
          <w:lang w:val="en-US" w:eastAsia="zh-CN"/>
        </w:rPr>
        <w:t>来自科研、教学、生产、质检、推广、管理等方面专家对《</w:t>
      </w:r>
      <w:r>
        <w:rPr>
          <w:rFonts w:hint="eastAsia" w:cs="Times New Roman"/>
          <w:color w:val="auto"/>
          <w:highlight w:val="none"/>
          <w:lang w:eastAsia="zh-CN"/>
        </w:rPr>
        <w:t>军曹鱼深远海平台养殖技术规程</w:t>
      </w:r>
      <w:r>
        <w:rPr>
          <w:rFonts w:hint="eastAsia" w:ascii="Times New Roman" w:hAnsi="Times New Roman" w:eastAsia="宋体" w:cs="Times New Roman"/>
          <w:color w:val="auto"/>
          <w:sz w:val="24"/>
          <w:szCs w:val="24"/>
          <w:highlight w:val="none"/>
          <w:lang w:val="en-US" w:eastAsia="zh-CN"/>
        </w:rPr>
        <w:t>》标准进行了审查。审查组一致认为：</w:t>
      </w:r>
      <w:r>
        <w:rPr>
          <w:rFonts w:hint="eastAsia" w:ascii="Times New Roman" w:hAnsi="Times New Roman" w:cs="Times New Roman"/>
          <w:color w:val="auto"/>
          <w:sz w:val="24"/>
          <w:szCs w:val="24"/>
          <w:highlight w:val="none"/>
          <w:lang w:val="en-US" w:eastAsia="zh-CN"/>
        </w:rPr>
        <w:t>军曹鱼是湛江重要的海水养殖鱼类</w:t>
      </w:r>
      <w:r>
        <w:rPr>
          <w:rFonts w:hint="eastAsia" w:ascii="Times New Roman" w:hAnsi="Times New Roman" w:eastAsia="宋体" w:cs="Times New Roman"/>
          <w:color w:val="auto"/>
          <w:sz w:val="24"/>
          <w:szCs w:val="24"/>
          <w:highlight w:val="none"/>
          <w:lang w:val="en-US" w:eastAsia="zh-CN"/>
        </w:rPr>
        <w:t>。</w:t>
      </w:r>
      <w:r>
        <w:rPr>
          <w:rFonts w:hint="eastAsia" w:ascii="宋体" w:hAnsi="宋体" w:eastAsia="宋体" w:cs="宋体"/>
          <w:color w:val="auto"/>
          <w:sz w:val="24"/>
          <w:szCs w:val="24"/>
          <w:highlight w:val="none"/>
        </w:rPr>
        <w:t>通过大规格苗种放养，缩短成鱼养殖周期，提高养殖的安全性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推动军曹鱼深远海养殖朝规模化、集约化和规范化发展</w:t>
      </w:r>
      <w:r>
        <w:rPr>
          <w:rFonts w:hint="eastAsia"/>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本标准依据GB／T 1.1－2020标准化工作导则编制，与我国现行政策、法规、标准无冲突。本标准结构设计合理，技术内容完整。审</w:t>
      </w:r>
      <w:r>
        <w:rPr>
          <w:rFonts w:hint="eastAsia" w:ascii="Times New Roman" w:hAnsi="Times New Roman" w:cs="Times New Roman"/>
          <w:color w:val="auto"/>
          <w:sz w:val="24"/>
          <w:szCs w:val="24"/>
          <w:highlight w:val="none"/>
          <w:lang w:val="en-US" w:eastAsia="zh-CN"/>
        </w:rPr>
        <w:t>查</w:t>
      </w:r>
      <w:r>
        <w:rPr>
          <w:rFonts w:hint="eastAsia" w:ascii="Times New Roman" w:hAnsi="Times New Roman" w:eastAsia="宋体" w:cs="Times New Roman"/>
          <w:color w:val="auto"/>
          <w:sz w:val="24"/>
          <w:szCs w:val="24"/>
          <w:highlight w:val="none"/>
          <w:lang w:val="en-US" w:eastAsia="zh-CN"/>
        </w:rPr>
        <w:t>组一致同意该标准通过审查，建议作为推荐性标准，尽快发布实施。根据专家组提出的****条意见和建议，对标准送审稿和编制说明进行了修改完善，形成标准报批稿等材料，经主审专家、评审组组长审核确认、签字，报送</w:t>
      </w:r>
      <w:r>
        <w:rPr>
          <w:rFonts w:hint="eastAsia"/>
          <w:color w:val="auto"/>
          <w:sz w:val="24"/>
          <w:szCs w:val="24"/>
          <w:highlight w:val="none"/>
          <w:lang w:val="en-US" w:eastAsia="zh-CN"/>
        </w:rPr>
        <w:t>湛江市</w:t>
      </w:r>
      <w:r>
        <w:rPr>
          <w:rFonts w:hint="eastAsia" w:ascii="宋体" w:hAnsi="宋体" w:cs="宋体"/>
          <w:sz w:val="24"/>
          <w:szCs w:val="24"/>
        </w:rPr>
        <w:t>市场</w:t>
      </w:r>
      <w:r>
        <w:rPr>
          <w:rFonts w:hint="eastAsia"/>
          <w:color w:val="auto"/>
          <w:sz w:val="24"/>
          <w:szCs w:val="24"/>
          <w:highlight w:val="none"/>
          <w:lang w:val="en-US" w:eastAsia="zh-CN"/>
        </w:rPr>
        <w:t>监督管理局</w:t>
      </w:r>
      <w:r>
        <w:rPr>
          <w:rFonts w:hint="eastAsia" w:ascii="Times New Roman" w:hAnsi="Times New Roman" w:eastAsia="宋体" w:cs="Times New Roman"/>
          <w:color w:val="auto"/>
          <w:sz w:val="24"/>
          <w:szCs w:val="24"/>
          <w:highlight w:val="none"/>
          <w:lang w:val="en-US" w:eastAsia="zh-CN"/>
        </w:rPr>
        <w:t>复核盖章。</w:t>
      </w:r>
    </w:p>
    <w:p>
      <w:pPr>
        <w:widowControl w:val="0"/>
        <w:numPr>
          <w:ilvl w:val="0"/>
          <w:numId w:val="0"/>
        </w:numPr>
        <w:spacing w:line="360" w:lineRule="auto"/>
        <w:jc w:val="both"/>
        <w:rPr>
          <w:rFonts w:hint="eastAsia"/>
          <w:color w:val="auto"/>
          <w:sz w:val="18"/>
          <w:szCs w:val="18"/>
          <w:highlight w:val="none"/>
          <w:lang w:val="en-US" w:eastAsia="zh-CN"/>
        </w:rPr>
      </w:pPr>
      <w:r>
        <w:rPr>
          <w:rFonts w:hint="eastAsia" w:ascii="宋体" w:hAnsi="宋体" w:eastAsia="宋体" w:cs="宋体"/>
          <w:b/>
          <w:color w:val="auto"/>
          <w:kern w:val="2"/>
          <w:highlight w:val="none"/>
          <w:lang w:val="en-US" w:eastAsia="zh-CN"/>
        </w:rPr>
        <w:t xml:space="preserve">二 </w:t>
      </w:r>
      <w:r>
        <w:rPr>
          <w:rFonts w:hint="eastAsia" w:ascii="宋体" w:hAnsi="宋体" w:eastAsia="宋体" w:cs="宋体"/>
          <w:b/>
          <w:color w:val="auto"/>
          <w:kern w:val="2"/>
          <w:highlight w:val="none"/>
        </w:rPr>
        <w:t xml:space="preserve">标准编制原则、主要内容及其确定依据 </w:t>
      </w:r>
      <w:r>
        <w:rPr>
          <w:rFonts w:hint="eastAsia" w:ascii="宋体" w:hAnsi="宋体" w:eastAsia="宋体" w:cs="宋体"/>
          <w:b/>
          <w:color w:val="auto"/>
          <w:kern w:val="2"/>
          <w:sz w:val="24"/>
          <w:szCs w:val="24"/>
          <w:highlight w:val="none"/>
          <w:lang w:val="en-US" w:eastAsia="zh-CN"/>
        </w:rPr>
        <w:t>，修订标准时，还包括修订前后技术内容的对比</w:t>
      </w:r>
    </w:p>
    <w:p>
      <w:pPr>
        <w:pStyle w:val="19"/>
        <w:widowControl w:val="0"/>
        <w:numPr>
          <w:ilvl w:val="0"/>
          <w:numId w:val="0"/>
        </w:numPr>
        <w:spacing w:line="360" w:lineRule="auto"/>
        <w:jc w:val="both"/>
        <w:rPr>
          <w:rFonts w:hint="eastAsia" w:cs="Times New Roman"/>
          <w:b/>
          <w:bCs/>
          <w:color w:val="auto"/>
          <w:highlight w:val="none"/>
        </w:rPr>
      </w:pPr>
      <w:r>
        <w:rPr>
          <w:rFonts w:hint="eastAsia" w:cs="Times New Roman"/>
          <w:b/>
          <w:bCs/>
          <w:color w:val="auto"/>
          <w:highlight w:val="none"/>
          <w:lang w:eastAsia="zh-CN"/>
        </w:rPr>
        <w:t>（</w:t>
      </w:r>
      <w:r>
        <w:rPr>
          <w:rFonts w:hint="eastAsia" w:cs="Times New Roman"/>
          <w:b/>
          <w:bCs/>
          <w:color w:val="auto"/>
          <w:highlight w:val="none"/>
          <w:lang w:val="en-US" w:eastAsia="zh-CN"/>
        </w:rPr>
        <w:t>一</w:t>
      </w:r>
      <w:r>
        <w:rPr>
          <w:rFonts w:hint="eastAsia" w:cs="Times New Roman"/>
          <w:b/>
          <w:bCs/>
          <w:color w:val="auto"/>
          <w:highlight w:val="none"/>
          <w:lang w:eastAsia="zh-CN"/>
        </w:rPr>
        <w:t>）</w:t>
      </w:r>
      <w:r>
        <w:rPr>
          <w:rFonts w:hint="eastAsia" w:cs="Times New Roman"/>
          <w:b/>
          <w:bCs/>
          <w:color w:val="auto"/>
          <w:highlight w:val="none"/>
        </w:rPr>
        <w:t>标准编制原则</w:t>
      </w:r>
    </w:p>
    <w:p>
      <w:pPr>
        <w:bidi w:val="0"/>
        <w:spacing w:line="360" w:lineRule="auto"/>
        <w:ind w:firstLine="480" w:firstLineChars="200"/>
        <w:rPr>
          <w:color w:val="auto"/>
          <w:highlight w:val="none"/>
        </w:rPr>
      </w:pPr>
      <w:r>
        <w:rPr>
          <w:rFonts w:hint="eastAsia"/>
          <w:color w:val="auto"/>
          <w:highlight w:val="none"/>
          <w:lang w:val="en-US" w:eastAsia="zh-CN"/>
        </w:rPr>
        <w:t>1.</w:t>
      </w:r>
      <w:r>
        <w:rPr>
          <w:color w:val="auto"/>
          <w:highlight w:val="none"/>
        </w:rPr>
        <w:t>规范性原则</w:t>
      </w:r>
    </w:p>
    <w:p>
      <w:pPr>
        <w:bidi w:val="0"/>
        <w:spacing w:line="360" w:lineRule="auto"/>
        <w:ind w:firstLine="480" w:firstLineChars="200"/>
        <w:rPr>
          <w:rFonts w:hint="eastAsia"/>
          <w:color w:val="auto"/>
          <w:highlight w:val="none"/>
        </w:rPr>
      </w:pPr>
      <w:r>
        <w:rPr>
          <w:color w:val="auto"/>
          <w:highlight w:val="none"/>
        </w:rPr>
        <w:t>本</w:t>
      </w:r>
      <w:r>
        <w:rPr>
          <w:rFonts w:hint="eastAsia"/>
          <w:color w:val="auto"/>
          <w:highlight w:val="none"/>
        </w:rPr>
        <w:t>文件</w:t>
      </w:r>
      <w:r>
        <w:rPr>
          <w:color w:val="auto"/>
          <w:highlight w:val="none"/>
        </w:rPr>
        <w:t>严格按照GB/T</w:t>
      </w:r>
      <w:r>
        <w:rPr>
          <w:rFonts w:hint="eastAsia"/>
          <w:color w:val="auto"/>
          <w:highlight w:val="none"/>
        </w:rPr>
        <w:t xml:space="preserve"> </w:t>
      </w:r>
      <w:r>
        <w:rPr>
          <w:color w:val="auto"/>
          <w:highlight w:val="none"/>
        </w:rPr>
        <w:t>1.1</w:t>
      </w:r>
      <w:r>
        <w:rPr>
          <w:rFonts w:hint="eastAsia"/>
          <w:color w:val="auto"/>
          <w:highlight w:val="none"/>
        </w:rPr>
        <w:t>－</w:t>
      </w:r>
      <w:r>
        <w:rPr>
          <w:color w:val="auto"/>
          <w:highlight w:val="none"/>
        </w:rPr>
        <w:t>2020《标准化工作导则第1部分：标准化文件的结构和起草规则》</w:t>
      </w:r>
      <w:r>
        <w:rPr>
          <w:rFonts w:hint="eastAsia"/>
          <w:color w:val="auto"/>
          <w:highlight w:val="none"/>
          <w:lang w:val="en-US" w:eastAsia="zh-CN"/>
        </w:rPr>
        <w:t>、</w:t>
      </w:r>
      <w:r>
        <w:rPr>
          <w:rFonts w:hint="eastAsia"/>
          <w:color w:val="auto"/>
          <w:highlight w:val="none"/>
        </w:rPr>
        <w:t>GB/T 20001.6—2017《标准编写规则 第6部分：规程标准》</w:t>
      </w:r>
      <w:r>
        <w:rPr>
          <w:color w:val="auto"/>
          <w:highlight w:val="none"/>
        </w:rPr>
        <w:t>的</w:t>
      </w:r>
      <w:r>
        <w:rPr>
          <w:rFonts w:hint="eastAsia"/>
          <w:color w:val="auto"/>
          <w:highlight w:val="none"/>
          <w:lang w:val="en-US" w:eastAsia="zh-CN"/>
        </w:rPr>
        <w:t>格式</w:t>
      </w:r>
      <w:r>
        <w:rPr>
          <w:color w:val="auto"/>
          <w:highlight w:val="none"/>
        </w:rPr>
        <w:t>要求编制。编制说明按照</w:t>
      </w:r>
      <w:r>
        <w:rPr>
          <w:rFonts w:hint="eastAsia"/>
          <w:color w:val="auto"/>
          <w:highlight w:val="none"/>
        </w:rPr>
        <w:t>国家市场监督管理总局令（第59号）</w:t>
      </w:r>
      <w:r>
        <w:rPr>
          <w:color w:val="auto"/>
          <w:highlight w:val="none"/>
        </w:rPr>
        <w:t>“国家标准管理办法”第</w:t>
      </w:r>
      <w:r>
        <w:rPr>
          <w:rFonts w:hint="eastAsia"/>
          <w:color w:val="auto"/>
          <w:highlight w:val="none"/>
        </w:rPr>
        <w:t>二</w:t>
      </w:r>
      <w:r>
        <w:rPr>
          <w:color w:val="auto"/>
          <w:highlight w:val="none"/>
        </w:rPr>
        <w:t>章第</w:t>
      </w:r>
      <w:r>
        <w:rPr>
          <w:rFonts w:hint="eastAsia"/>
          <w:color w:val="auto"/>
          <w:highlight w:val="none"/>
        </w:rPr>
        <w:t>二十七</w:t>
      </w:r>
      <w:r>
        <w:rPr>
          <w:color w:val="auto"/>
          <w:highlight w:val="none"/>
        </w:rPr>
        <w:t>条的基本要求填</w:t>
      </w:r>
      <w:r>
        <w:rPr>
          <w:rFonts w:hint="eastAsia"/>
          <w:color w:val="auto"/>
          <w:highlight w:val="none"/>
        </w:rPr>
        <w:t>写。在编写过程中参考了国内已发布的同类标准，力求结构合理、层次分明、逻辑严谨，符号与相关同类标准相统一，文字表达准确、简明、易懂</w:t>
      </w:r>
      <w:r>
        <w:rPr>
          <w:rFonts w:hint="eastAsia"/>
          <w:color w:val="auto"/>
          <w:highlight w:val="none"/>
          <w:lang w:eastAsia="zh-CN"/>
        </w:rPr>
        <w:t>，</w:t>
      </w:r>
      <w:r>
        <w:rPr>
          <w:rFonts w:hint="eastAsia"/>
          <w:color w:val="auto"/>
          <w:highlight w:val="none"/>
        </w:rPr>
        <w:t>确保技术要素逻辑清晰。</w:t>
      </w:r>
    </w:p>
    <w:p>
      <w:pPr>
        <w:widowControl/>
        <w:spacing w:line="360" w:lineRule="auto"/>
        <w:ind w:firstLine="480" w:firstLineChars="200"/>
        <w:jc w:val="left"/>
        <w:rPr>
          <w:color w:val="auto"/>
          <w:sz w:val="24"/>
          <w:szCs w:val="24"/>
          <w:highlight w:val="none"/>
        </w:rPr>
      </w:pPr>
      <w:r>
        <w:rPr>
          <w:rFonts w:hint="eastAsia"/>
          <w:color w:val="auto"/>
          <w:sz w:val="24"/>
          <w:szCs w:val="24"/>
          <w:highlight w:val="none"/>
          <w:lang w:val="en-US" w:eastAsia="zh-CN"/>
        </w:rPr>
        <w:t>2.科学性</w:t>
      </w:r>
      <w:r>
        <w:rPr>
          <w:color w:val="auto"/>
          <w:sz w:val="24"/>
          <w:szCs w:val="24"/>
          <w:highlight w:val="none"/>
        </w:rPr>
        <w:t>原则</w:t>
      </w:r>
    </w:p>
    <w:p>
      <w:pPr>
        <w:spacing w:line="360" w:lineRule="auto"/>
        <w:ind w:firstLine="420"/>
        <w:jc w:val="left"/>
        <w:rPr>
          <w:rFonts w:hint="eastAsia"/>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本</w:t>
      </w:r>
      <w:r>
        <w:rPr>
          <w:rFonts w:hint="eastAsia" w:ascii="Times New Roman" w:hAnsi="Times New Roman" w:cs="Times New Roman"/>
          <w:color w:val="auto"/>
          <w:sz w:val="24"/>
          <w:szCs w:val="24"/>
          <w:highlight w:val="none"/>
          <w:lang w:val="en-US" w:eastAsia="zh-CN"/>
        </w:rPr>
        <w:t>文件</w:t>
      </w:r>
      <w:r>
        <w:rPr>
          <w:rFonts w:hint="default" w:ascii="Times New Roman" w:hAnsi="Times New Roman" w:eastAsia="宋体" w:cs="Times New Roman"/>
          <w:color w:val="auto"/>
          <w:sz w:val="24"/>
          <w:szCs w:val="24"/>
          <w:highlight w:val="none"/>
          <w:lang w:eastAsia="zh-CN"/>
        </w:rPr>
        <w:t>是在</w:t>
      </w:r>
      <w:r>
        <w:rPr>
          <w:rFonts w:hint="default" w:ascii="Times New Roman" w:hAnsi="Times New Roman" w:eastAsia="宋体" w:cs="Times New Roman"/>
          <w:color w:val="auto"/>
          <w:sz w:val="24"/>
          <w:szCs w:val="24"/>
          <w:highlight w:val="none"/>
        </w:rPr>
        <w:t>充分查阅相关文献资料</w:t>
      </w:r>
      <w:r>
        <w:rPr>
          <w:rFonts w:hint="default" w:ascii="Times New Roman" w:hAnsi="Times New Roman" w:eastAsia="宋体" w:cs="Times New Roman"/>
          <w:color w:val="auto"/>
          <w:sz w:val="24"/>
          <w:szCs w:val="24"/>
          <w:highlight w:val="none"/>
          <w:lang w:eastAsia="zh-CN"/>
        </w:rPr>
        <w:t>的基础上</w:t>
      </w:r>
      <w:r>
        <w:rPr>
          <w:rFonts w:hint="default" w:ascii="Times New Roman" w:hAnsi="Times New Roman" w:eastAsia="宋体" w:cs="Times New Roman"/>
          <w:color w:val="auto"/>
          <w:sz w:val="24"/>
          <w:szCs w:val="24"/>
          <w:highlight w:val="none"/>
        </w:rPr>
        <w:t>，广泛征求和听取从事</w:t>
      </w:r>
      <w:r>
        <w:rPr>
          <w:rFonts w:hint="eastAsia" w:cs="Times New Roman"/>
          <w:color w:val="auto"/>
          <w:sz w:val="24"/>
          <w:szCs w:val="24"/>
          <w:highlight w:val="none"/>
          <w:lang w:val="en-US" w:eastAsia="zh-CN"/>
        </w:rPr>
        <w:t>军曹鱼</w:t>
      </w:r>
      <w:r>
        <w:rPr>
          <w:rFonts w:hint="eastAsia" w:ascii="Times New Roman" w:hAnsi="Times New Roman" w:eastAsia="宋体" w:cs="Times New Roman"/>
          <w:color w:val="auto"/>
          <w:sz w:val="24"/>
          <w:szCs w:val="24"/>
          <w:highlight w:val="none"/>
          <w:lang w:eastAsia="zh-CN"/>
        </w:rPr>
        <w:t>养殖</w:t>
      </w:r>
      <w:r>
        <w:rPr>
          <w:rFonts w:hint="default" w:ascii="Times New Roman" w:hAnsi="Times New Roman" w:eastAsia="宋体" w:cs="Times New Roman"/>
          <w:color w:val="auto"/>
          <w:sz w:val="24"/>
          <w:szCs w:val="24"/>
          <w:highlight w:val="none"/>
        </w:rPr>
        <w:t>研究</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生产</w:t>
      </w:r>
      <w:r>
        <w:rPr>
          <w:rFonts w:hint="default" w:ascii="Times New Roman" w:hAnsi="Times New Roman" w:eastAsia="宋体" w:cs="Times New Roman"/>
          <w:color w:val="auto"/>
          <w:sz w:val="24"/>
          <w:szCs w:val="24"/>
          <w:highlight w:val="none"/>
          <w:lang w:eastAsia="zh-CN"/>
        </w:rPr>
        <w:t>和管理</w:t>
      </w:r>
      <w:r>
        <w:rPr>
          <w:rFonts w:hint="eastAsia" w:ascii="Times New Roman" w:hAnsi="Times New Roman" w:cs="Times New Roman"/>
          <w:color w:val="auto"/>
          <w:sz w:val="24"/>
          <w:szCs w:val="24"/>
          <w:highlight w:val="none"/>
          <w:lang w:val="en-US" w:eastAsia="zh-CN"/>
        </w:rPr>
        <w:t>等</w:t>
      </w:r>
      <w:r>
        <w:rPr>
          <w:rFonts w:hint="eastAsia" w:ascii="Times New Roman" w:hAnsi="Times New Roman" w:eastAsia="宋体" w:cs="Times New Roman"/>
          <w:color w:val="auto"/>
          <w:sz w:val="24"/>
          <w:szCs w:val="24"/>
          <w:highlight w:val="none"/>
          <w:lang w:eastAsia="zh-CN"/>
        </w:rPr>
        <w:t>方面</w:t>
      </w:r>
      <w:r>
        <w:rPr>
          <w:rFonts w:hint="default" w:ascii="Times New Roman" w:hAnsi="Times New Roman" w:eastAsia="宋体" w:cs="Times New Roman"/>
          <w:color w:val="auto"/>
          <w:sz w:val="24"/>
          <w:szCs w:val="24"/>
          <w:highlight w:val="none"/>
        </w:rPr>
        <w:t>的专家意见，结合国内外相关研究与生产</w:t>
      </w:r>
      <w:r>
        <w:rPr>
          <w:rFonts w:hint="eastAsia" w:ascii="Times New Roman" w:hAnsi="Times New Roman" w:cs="Times New Roman"/>
          <w:color w:val="auto"/>
          <w:sz w:val="24"/>
          <w:szCs w:val="24"/>
          <w:highlight w:val="none"/>
          <w:lang w:val="en-US" w:eastAsia="zh-CN"/>
        </w:rPr>
        <w:t>实际</w:t>
      </w:r>
      <w:r>
        <w:rPr>
          <w:rFonts w:hint="default" w:ascii="Times New Roman" w:hAnsi="Times New Roman" w:eastAsia="宋体" w:cs="Times New Roman"/>
          <w:color w:val="auto"/>
          <w:sz w:val="24"/>
          <w:szCs w:val="24"/>
          <w:highlight w:val="none"/>
        </w:rPr>
        <w:t>情况而制定</w:t>
      </w:r>
      <w:r>
        <w:rPr>
          <w:rFonts w:hint="eastAsia" w:ascii="Times New Roman" w:hAnsi="Times New Roman" w:cs="Times New Roman"/>
          <w:color w:val="auto"/>
          <w:sz w:val="24"/>
          <w:szCs w:val="24"/>
          <w:highlight w:val="none"/>
          <w:lang w:eastAsia="zh-CN"/>
        </w:rPr>
        <w:t>。</w:t>
      </w:r>
    </w:p>
    <w:p>
      <w:pPr>
        <w:spacing w:line="360" w:lineRule="auto"/>
        <w:ind w:firstLine="420"/>
        <w:jc w:val="left"/>
        <w:rPr>
          <w:rFonts w:hint="default" w:ascii="Times New Roman" w:hAnsi="Times New Roman" w:eastAsia="宋体" w:cs="Times New Roman"/>
          <w:color w:val="auto"/>
          <w:sz w:val="24"/>
          <w:szCs w:val="24"/>
          <w:highlight w:val="none"/>
        </w:rPr>
      </w:pPr>
      <w:r>
        <w:rPr>
          <w:rFonts w:hint="eastAsia"/>
          <w:color w:val="auto"/>
          <w:sz w:val="20"/>
          <w:szCs w:val="20"/>
          <w:highlight w:val="none"/>
          <w:lang w:val="en-US" w:eastAsia="zh-CN"/>
        </w:rPr>
        <w:t xml:space="preserve"> </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技术先进、经济合理性原则</w:t>
      </w:r>
    </w:p>
    <w:p>
      <w:pPr>
        <w:spacing w:line="360" w:lineRule="auto"/>
        <w:ind w:firstLine="42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标准</w:t>
      </w:r>
      <w:r>
        <w:rPr>
          <w:rFonts w:hint="eastAsia" w:ascii="Times New Roman" w:hAnsi="Times New Roman" w:cs="Times New Roman"/>
          <w:color w:val="auto"/>
          <w:sz w:val="24"/>
          <w:szCs w:val="24"/>
          <w:highlight w:val="none"/>
          <w:lang w:val="en-US" w:eastAsia="zh-CN"/>
        </w:rPr>
        <w:t>编制</w:t>
      </w:r>
      <w:r>
        <w:rPr>
          <w:rFonts w:hint="eastAsia" w:ascii="Times New Roman" w:hAnsi="Times New Roman" w:eastAsia="宋体" w:cs="Times New Roman"/>
          <w:color w:val="auto"/>
          <w:sz w:val="24"/>
          <w:szCs w:val="24"/>
          <w:highlight w:val="none"/>
        </w:rPr>
        <w:t>小</w:t>
      </w:r>
      <w:r>
        <w:rPr>
          <w:rFonts w:hint="default" w:ascii="Times New Roman" w:hAnsi="Times New Roman" w:eastAsia="宋体" w:cs="Times New Roman"/>
          <w:color w:val="auto"/>
          <w:sz w:val="24"/>
          <w:szCs w:val="24"/>
          <w:highlight w:val="none"/>
        </w:rPr>
        <w:t>组</w:t>
      </w:r>
      <w:r>
        <w:rPr>
          <w:rFonts w:hint="eastAsia" w:ascii="Times New Roman" w:hAnsi="Times New Roman" w:eastAsia="宋体" w:cs="Times New Roman"/>
          <w:color w:val="auto"/>
          <w:sz w:val="24"/>
          <w:szCs w:val="24"/>
          <w:highlight w:val="none"/>
        </w:rPr>
        <w:t>在保证标准适合</w:t>
      </w:r>
      <w:r>
        <w:rPr>
          <w:rFonts w:hint="eastAsia" w:ascii="Times New Roman" w:hAnsi="Times New Roman" w:cs="Times New Roman"/>
          <w:color w:val="auto"/>
          <w:sz w:val="24"/>
          <w:szCs w:val="24"/>
          <w:highlight w:val="none"/>
          <w:lang w:val="en-US" w:eastAsia="zh-CN"/>
        </w:rPr>
        <w:t>湛江地区产业发展的</w:t>
      </w:r>
      <w:r>
        <w:rPr>
          <w:rFonts w:hint="eastAsia" w:ascii="Times New Roman" w:hAnsi="Times New Roman" w:eastAsia="宋体" w:cs="Times New Roman"/>
          <w:color w:val="auto"/>
          <w:sz w:val="24"/>
          <w:szCs w:val="24"/>
          <w:highlight w:val="none"/>
        </w:rPr>
        <w:t>前提下，</w:t>
      </w:r>
      <w:r>
        <w:rPr>
          <w:rFonts w:hint="default" w:ascii="Times New Roman" w:hAnsi="Times New Roman" w:eastAsia="宋体" w:cs="Times New Roman"/>
          <w:color w:val="auto"/>
          <w:sz w:val="24"/>
          <w:szCs w:val="24"/>
          <w:highlight w:val="none"/>
          <w:lang w:eastAsia="zh-CN"/>
        </w:rPr>
        <w:t>首先考虑</w:t>
      </w:r>
      <w:r>
        <w:rPr>
          <w:rFonts w:hint="eastAsia" w:ascii="Times New Roman" w:hAnsi="Times New Roman" w:cs="Times New Roman"/>
          <w:color w:val="auto"/>
          <w:sz w:val="24"/>
          <w:szCs w:val="24"/>
          <w:highlight w:val="none"/>
          <w:lang w:val="en-US" w:eastAsia="zh-CN"/>
        </w:rPr>
        <w:t>湛江</w:t>
      </w:r>
      <w:r>
        <w:rPr>
          <w:rFonts w:hint="default" w:ascii="Times New Roman" w:hAnsi="Times New Roman" w:eastAsia="宋体" w:cs="Times New Roman"/>
          <w:color w:val="auto"/>
          <w:sz w:val="24"/>
          <w:szCs w:val="24"/>
          <w:highlight w:val="none"/>
          <w:lang w:eastAsia="zh-CN"/>
        </w:rPr>
        <w:t>在</w:t>
      </w:r>
      <w:r>
        <w:rPr>
          <w:rFonts w:hint="eastAsia" w:ascii="Times New Roman" w:hAnsi="Times New Roman" w:cs="Times New Roman"/>
          <w:color w:val="auto"/>
          <w:sz w:val="24"/>
          <w:szCs w:val="24"/>
          <w:highlight w:val="none"/>
          <w:lang w:val="en-US" w:eastAsia="zh-CN"/>
        </w:rPr>
        <w:t>军曹鱼养殖</w:t>
      </w:r>
      <w:r>
        <w:rPr>
          <w:rFonts w:hint="eastAsia" w:ascii="Times New Roman" w:hAnsi="Times New Roman" w:eastAsia="宋体" w:cs="Times New Roman"/>
          <w:color w:val="auto"/>
          <w:sz w:val="24"/>
          <w:szCs w:val="24"/>
          <w:highlight w:val="none"/>
          <w:lang w:eastAsia="zh-CN"/>
        </w:rPr>
        <w:t>生产</w:t>
      </w:r>
      <w:r>
        <w:rPr>
          <w:rFonts w:hint="default" w:ascii="Times New Roman" w:hAnsi="Times New Roman" w:eastAsia="宋体" w:cs="Times New Roman"/>
          <w:color w:val="auto"/>
          <w:sz w:val="24"/>
          <w:szCs w:val="24"/>
          <w:highlight w:val="none"/>
          <w:lang w:eastAsia="zh-CN"/>
        </w:rPr>
        <w:t>方面的生产实践经验和产业现状，力求</w:t>
      </w:r>
      <w:r>
        <w:rPr>
          <w:rFonts w:hint="eastAsia" w:ascii="Times New Roman" w:hAnsi="Times New Roman" w:eastAsia="宋体" w:cs="Times New Roman"/>
          <w:color w:val="auto"/>
          <w:sz w:val="24"/>
          <w:szCs w:val="24"/>
          <w:highlight w:val="none"/>
          <w:lang w:eastAsia="zh-CN"/>
        </w:rPr>
        <w:t>标准技术内容的</w:t>
      </w:r>
      <w:r>
        <w:rPr>
          <w:rFonts w:hint="default" w:ascii="Times New Roman" w:hAnsi="Times New Roman" w:eastAsia="宋体" w:cs="Times New Roman"/>
          <w:color w:val="auto"/>
          <w:sz w:val="24"/>
          <w:szCs w:val="24"/>
          <w:highlight w:val="none"/>
          <w:lang w:eastAsia="zh-CN"/>
        </w:rPr>
        <w:t>经济合理性与环境友好性，</w:t>
      </w:r>
      <w:r>
        <w:rPr>
          <w:rFonts w:hint="default" w:ascii="Times New Roman" w:hAnsi="Times New Roman" w:eastAsia="宋体" w:cs="Times New Roman"/>
          <w:color w:val="auto"/>
          <w:sz w:val="24"/>
          <w:szCs w:val="24"/>
          <w:highlight w:val="none"/>
        </w:rPr>
        <w:t>同时融入本行业的先进技术和特色做法，挖掘和发挥前沿技术优势，以使标准</w:t>
      </w:r>
      <w:r>
        <w:rPr>
          <w:rFonts w:hint="eastAsia" w:ascii="Times New Roman" w:hAnsi="Times New Roman" w:eastAsia="宋体" w:cs="Times New Roman"/>
          <w:color w:val="auto"/>
          <w:sz w:val="24"/>
          <w:szCs w:val="24"/>
          <w:highlight w:val="none"/>
        </w:rPr>
        <w:t>兼具</w:t>
      </w:r>
      <w:r>
        <w:rPr>
          <w:rFonts w:hint="default" w:ascii="Times New Roman" w:hAnsi="Times New Roman" w:eastAsia="宋体" w:cs="Times New Roman"/>
          <w:color w:val="auto"/>
          <w:sz w:val="24"/>
          <w:szCs w:val="24"/>
          <w:highlight w:val="none"/>
        </w:rPr>
        <w:t>科技进步性和现实可行性。</w:t>
      </w:r>
    </w:p>
    <w:p>
      <w:pPr>
        <w:pStyle w:val="19"/>
        <w:widowControl w:val="0"/>
        <w:numPr>
          <w:ilvl w:val="0"/>
          <w:numId w:val="0"/>
        </w:numPr>
        <w:spacing w:line="360" w:lineRule="auto"/>
        <w:jc w:val="both"/>
        <w:rPr>
          <w:rFonts w:hint="eastAsia" w:cs="Times New Roman"/>
          <w:b/>
          <w:bCs/>
          <w:color w:val="auto"/>
          <w:highlight w:val="none"/>
        </w:rPr>
      </w:pPr>
      <w:r>
        <w:rPr>
          <w:rFonts w:hint="eastAsia" w:cs="Times New Roman"/>
          <w:b/>
          <w:bCs/>
          <w:color w:val="auto"/>
          <w:highlight w:val="none"/>
          <w:lang w:eastAsia="zh-CN"/>
        </w:rPr>
        <w:t>（</w:t>
      </w:r>
      <w:r>
        <w:rPr>
          <w:rFonts w:hint="eastAsia" w:cs="Times New Roman"/>
          <w:b/>
          <w:bCs/>
          <w:color w:val="auto"/>
          <w:highlight w:val="none"/>
          <w:lang w:val="en-US" w:eastAsia="zh-CN"/>
        </w:rPr>
        <w:t>二）</w:t>
      </w:r>
      <w:r>
        <w:rPr>
          <w:rFonts w:hint="eastAsia" w:cs="Times New Roman"/>
          <w:b/>
          <w:bCs/>
          <w:color w:val="auto"/>
          <w:highlight w:val="none"/>
        </w:rPr>
        <w:t>标准主要内容及其确定依据</w:t>
      </w:r>
    </w:p>
    <w:p>
      <w:pPr>
        <w:pStyle w:val="24"/>
        <w:tabs>
          <w:tab w:val="center" w:pos="4201"/>
          <w:tab w:val="right" w:leader="dot" w:pos="9298"/>
        </w:tabs>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按照GB/T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1.1—2020《标准化工作导则第1部分</w:t>
      </w:r>
      <w:r>
        <w:rPr>
          <w:rFonts w:hint="eastAsia" w:ascii="宋体" w:hAnsi="宋体" w:eastAsia="宋体" w:cs="宋体"/>
          <w:color w:val="auto"/>
          <w:kern w:val="0"/>
          <w:sz w:val="24"/>
          <w:szCs w:val="24"/>
          <w:highlight w:val="none"/>
          <w:lang w:val="en-US" w:eastAsia="zh-CN" w:bidi="ar-SA"/>
        </w:rPr>
        <w:t>：标准</w:t>
      </w:r>
      <w:r>
        <w:rPr>
          <w:rFonts w:hint="eastAsia" w:ascii="宋体" w:hAnsi="宋体" w:eastAsia="宋体" w:cs="宋体"/>
          <w:color w:val="auto"/>
          <w:sz w:val="24"/>
          <w:szCs w:val="24"/>
          <w:highlight w:val="none"/>
        </w:rPr>
        <w:t>化文件的结构和起草规则》</w:t>
      </w:r>
      <w:r>
        <w:rPr>
          <w:rFonts w:hint="eastAsia" w:cs="宋体"/>
          <w:color w:val="auto"/>
          <w:sz w:val="24"/>
          <w:szCs w:val="24"/>
          <w:highlight w:val="none"/>
          <w:lang w:val="en-US" w:eastAsia="zh-CN"/>
        </w:rPr>
        <w:t>及</w:t>
      </w:r>
      <w:r>
        <w:rPr>
          <w:rFonts w:hint="eastAsia"/>
          <w:color w:val="auto"/>
          <w:sz w:val="24"/>
          <w:szCs w:val="24"/>
          <w:highlight w:val="none"/>
        </w:rPr>
        <w:t>GB/T 20001.6—2017《标准编写规则 第6部分：规</w:t>
      </w:r>
      <w:r>
        <w:rPr>
          <w:rFonts w:hint="eastAsia" w:ascii="宋体" w:hAnsi="宋体" w:eastAsia="宋体" w:cs="宋体"/>
          <w:color w:val="auto"/>
          <w:sz w:val="24"/>
          <w:szCs w:val="24"/>
          <w:highlight w:val="none"/>
        </w:rPr>
        <w:t>程标准》的要求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确定了本标准的框架结构，</w:t>
      </w:r>
      <w:r>
        <w:rPr>
          <w:rFonts w:hint="eastAsia" w:ascii="宋体" w:hAnsi="宋体" w:eastAsia="宋体" w:cs="宋体"/>
          <w:color w:val="auto"/>
          <w:sz w:val="24"/>
          <w:szCs w:val="24"/>
          <w:highlight w:val="none"/>
        </w:rPr>
        <w:t>确立了军曹鱼(Rachycentron canadum)</w:t>
      </w:r>
      <w:r>
        <w:rPr>
          <w:rFonts w:hint="eastAsia" w:hAnsi="宋体"/>
          <w:color w:val="auto"/>
          <w:highlight w:val="none"/>
        </w:rPr>
        <w:t>深远海平台养殖的程序，</w:t>
      </w:r>
      <w:r>
        <w:rPr>
          <w:rFonts w:hint="eastAsia" w:ascii="宋体" w:hAnsi="宋体" w:eastAsia="宋体" w:cs="宋体"/>
          <w:color w:val="auto"/>
          <w:kern w:val="0"/>
          <w:sz w:val="24"/>
          <w:szCs w:val="24"/>
          <w:highlight w:val="none"/>
          <w:lang w:val="en-US" w:eastAsia="zh-CN" w:bidi="ar-SA"/>
        </w:rPr>
        <w:t>深远海平台养殖海区选择、</w:t>
      </w:r>
      <w:r>
        <w:rPr>
          <w:rFonts w:hint="eastAsia" w:cs="宋体"/>
          <w:color w:val="auto"/>
          <w:kern w:val="0"/>
          <w:sz w:val="24"/>
          <w:szCs w:val="24"/>
          <w:highlight w:val="none"/>
          <w:lang w:val="en-US" w:eastAsia="zh-CN" w:bidi="ar-SA"/>
        </w:rPr>
        <w:t>养殖平台设施、</w:t>
      </w:r>
      <w:r>
        <w:rPr>
          <w:rFonts w:hint="eastAsia" w:ascii="宋体" w:hAnsi="宋体" w:eastAsia="宋体" w:cs="宋体"/>
          <w:color w:val="auto"/>
          <w:kern w:val="0"/>
          <w:sz w:val="24"/>
          <w:szCs w:val="24"/>
          <w:highlight w:val="none"/>
          <w:lang w:val="en-US" w:eastAsia="zh-CN" w:bidi="ar-SA"/>
        </w:rPr>
        <w:t>鱼种放养、饲养与管理、病害防控、收获的操作指示及转换条件，描述了记录和档案管理的内容。根据以上框架结构和顺序，将本标准的主要技</w:t>
      </w:r>
      <w:r>
        <w:rPr>
          <w:rFonts w:hint="eastAsia" w:cs="宋体"/>
          <w:b w:val="0"/>
          <w:bCs w:val="0"/>
          <w:color w:val="auto"/>
          <w:sz w:val="24"/>
          <w:szCs w:val="24"/>
          <w:highlight w:val="none"/>
          <w:lang w:val="en-US" w:eastAsia="zh-CN"/>
        </w:rPr>
        <w:t>术</w:t>
      </w:r>
      <w:r>
        <w:rPr>
          <w:rFonts w:hint="eastAsia" w:ascii="宋体" w:hAnsi="宋体" w:eastAsia="宋体" w:cs="宋体"/>
          <w:color w:val="auto"/>
          <w:sz w:val="24"/>
          <w:szCs w:val="24"/>
          <w:highlight w:val="none"/>
          <w:lang w:val="en-US" w:eastAsia="zh-CN"/>
        </w:rPr>
        <w:t>内容及其确定依据陈述</w:t>
      </w:r>
      <w:r>
        <w:rPr>
          <w:rFonts w:hint="eastAsia" w:ascii="宋体" w:hAnsi="宋体" w:eastAsia="宋体" w:cs="宋体"/>
          <w:color w:val="auto"/>
          <w:kern w:val="2"/>
          <w:sz w:val="24"/>
          <w:szCs w:val="24"/>
          <w:highlight w:val="none"/>
          <w:lang w:val="en-US" w:eastAsia="zh-CN" w:bidi="ar-SA"/>
        </w:rPr>
        <w:t>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default"/>
          <w:color w:val="auto"/>
          <w:highlight w:val="none"/>
          <w:lang w:val="en-US" w:eastAsia="zh-CN"/>
        </w:rPr>
      </w:pPr>
      <w:r>
        <w:rPr>
          <w:rFonts w:hint="eastAsia"/>
          <w:b/>
          <w:bCs/>
          <w:color w:val="auto"/>
          <w:highlight w:val="none"/>
          <w:lang w:val="en-US" w:eastAsia="zh-CN"/>
        </w:rPr>
        <w:t>1 养殖海区选择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cs="宋体"/>
          <w:snapToGrid w:val="0"/>
          <w:color w:val="auto"/>
          <w:kern w:val="0"/>
          <w:highlight w:val="none"/>
          <w:lang w:val="en-US" w:eastAsia="zh-CN"/>
        </w:rPr>
      </w:pPr>
      <w:r>
        <w:rPr>
          <w:rFonts w:hint="eastAsia" w:cs="宋体"/>
          <w:snapToGrid w:val="0"/>
          <w:color w:val="auto"/>
          <w:kern w:val="0"/>
          <w:highlight w:val="none"/>
          <w:lang w:val="en-US" w:eastAsia="zh-CN"/>
        </w:rPr>
        <w:t>1.1海区位置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2"/>
          <w:highlight w:val="none"/>
          <w:lang w:val="en-US" w:eastAsia="zh-CN" w:bidi="ar-SA"/>
        </w:rPr>
        <w:t>《农业农村部等八部门关于加快推进深远海养殖发展的意见》（农渔发〔2023〕14号）</w:t>
      </w:r>
      <w:r>
        <w:rPr>
          <w:rFonts w:hint="eastAsia" w:cs="宋体"/>
          <w:color w:val="auto"/>
          <w:kern w:val="0"/>
          <w:sz w:val="24"/>
          <w:szCs w:val="22"/>
          <w:highlight w:val="none"/>
          <w:lang w:val="en-US" w:eastAsia="zh-CN" w:bidi="ar-SA"/>
        </w:rPr>
        <w:t>中提到</w:t>
      </w:r>
      <w:r>
        <w:rPr>
          <w:rFonts w:hint="eastAsia" w:ascii="宋体" w:hAnsi="宋体" w:eastAsia="宋体" w:cs="宋体"/>
          <w:color w:val="auto"/>
          <w:kern w:val="0"/>
          <w:sz w:val="24"/>
          <w:szCs w:val="22"/>
          <w:highlight w:val="none"/>
          <w:lang w:val="en-US" w:eastAsia="zh-CN" w:bidi="ar-SA"/>
        </w:rPr>
        <w:t>深远海养殖</w:t>
      </w:r>
      <w:r>
        <w:rPr>
          <w:rFonts w:hint="eastAsia" w:cs="宋体"/>
          <w:color w:val="auto"/>
          <w:kern w:val="0"/>
          <w:sz w:val="24"/>
          <w:szCs w:val="22"/>
          <w:highlight w:val="none"/>
          <w:lang w:val="en-US" w:eastAsia="zh-CN" w:bidi="ar-SA"/>
        </w:rPr>
        <w:t>的定义：</w:t>
      </w:r>
      <w:r>
        <w:rPr>
          <w:rFonts w:hint="eastAsia" w:ascii="宋体" w:hAnsi="宋体" w:eastAsia="宋体" w:cs="宋体"/>
          <w:color w:val="auto"/>
          <w:kern w:val="0"/>
          <w:sz w:val="24"/>
          <w:szCs w:val="22"/>
          <w:highlight w:val="none"/>
          <w:lang w:val="en-US" w:eastAsia="zh-CN" w:bidi="ar-SA"/>
        </w:rPr>
        <w:t>主要指以重力式网箱、桁架类网箱及养殖平台、养殖工船等大型渔业装备为主体，以机械化、自动化、智能化装备技术为支撑，在深远海进行规模化高效水产养殖的方式。</w:t>
      </w:r>
      <w:r>
        <w:rPr>
          <w:rFonts w:hint="eastAsia" w:cs="宋体"/>
          <w:color w:val="auto"/>
          <w:kern w:val="0"/>
          <w:sz w:val="24"/>
          <w:szCs w:val="22"/>
          <w:highlight w:val="none"/>
          <w:lang w:val="en-US" w:eastAsia="zh-CN" w:bidi="ar-SA"/>
        </w:rPr>
        <w:t>文中提到，</w:t>
      </w:r>
      <w:r>
        <w:rPr>
          <w:rFonts w:hint="eastAsia" w:ascii="宋体" w:hAnsi="宋体" w:eastAsia="宋体" w:cs="宋体"/>
          <w:color w:val="auto"/>
          <w:kern w:val="0"/>
          <w:sz w:val="24"/>
          <w:szCs w:val="22"/>
          <w:highlight w:val="none"/>
          <w:lang w:val="en-US" w:eastAsia="zh-CN" w:bidi="ar-SA"/>
        </w:rPr>
        <w:t>桁架类网箱及养殖平台、养殖工船原则上布设在低潮位水深不小于20米或离岸10公里以上的海域，重力式网箱布设海域水深不小于15米。</w:t>
      </w:r>
      <w:r>
        <w:rPr>
          <w:rFonts w:hint="eastAsia" w:cs="宋体"/>
          <w:color w:val="auto"/>
          <w:kern w:val="0"/>
          <w:sz w:val="24"/>
          <w:szCs w:val="22"/>
          <w:highlight w:val="none"/>
          <w:lang w:val="en-US" w:eastAsia="zh-CN" w:bidi="ar-SA"/>
        </w:rPr>
        <w:t>根据军曹鱼对流速的适应能力，应选择</w:t>
      </w:r>
      <w:r>
        <w:rPr>
          <w:rFonts w:hint="eastAsia" w:ascii="宋体" w:hAnsi="宋体" w:eastAsia="宋体" w:cs="宋体"/>
          <w:color w:val="auto"/>
          <w:sz w:val="24"/>
          <w:szCs w:val="24"/>
          <w:highlight w:val="none"/>
        </w:rPr>
        <w:t>流速</w:t>
      </w:r>
      <w:r>
        <w:rPr>
          <w:rFonts w:hint="eastAsia" w:cs="宋体"/>
          <w:color w:val="auto"/>
          <w:sz w:val="24"/>
          <w:szCs w:val="24"/>
          <w:highlight w:val="none"/>
          <w:lang w:val="en-US" w:eastAsia="zh-CN"/>
        </w:rPr>
        <w:t>在</w:t>
      </w:r>
      <w:r>
        <w:rPr>
          <w:rFonts w:hint="eastAsia" w:ascii="宋体" w:hAnsi="宋体" w:eastAsia="宋体" w:cs="宋体"/>
          <w:color w:val="auto"/>
          <w:sz w:val="24"/>
          <w:szCs w:val="24"/>
          <w:highlight w:val="none"/>
        </w:rPr>
        <w:t>0.5 m/s～1.0 m/s</w:t>
      </w:r>
      <w:r>
        <w:rPr>
          <w:rFonts w:hint="eastAsia" w:cs="宋体"/>
          <w:color w:val="auto"/>
          <w:sz w:val="24"/>
          <w:szCs w:val="24"/>
          <w:highlight w:val="none"/>
          <w:lang w:val="en-US" w:eastAsia="zh-CN"/>
        </w:rPr>
        <w:t>的海区</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1.2水质要求</w:t>
      </w:r>
    </w:p>
    <w:p>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11607是国家强制性渔业水质标准，因此</w:t>
      </w:r>
      <w:r>
        <w:rPr>
          <w:rFonts w:hint="eastAsia" w:ascii="宋体" w:hAnsi="宋体" w:eastAsia="宋体" w:cs="宋体"/>
          <w:color w:val="auto"/>
          <w:sz w:val="24"/>
          <w:szCs w:val="24"/>
          <w:highlight w:val="none"/>
          <w:lang w:val="en-US" w:eastAsia="zh-CN"/>
        </w:rPr>
        <w:t>海水</w:t>
      </w:r>
      <w:r>
        <w:rPr>
          <w:rFonts w:hint="eastAsia" w:ascii="宋体" w:hAnsi="宋体" w:eastAsia="宋体" w:cs="宋体"/>
          <w:color w:val="auto"/>
          <w:sz w:val="24"/>
          <w:szCs w:val="24"/>
          <w:highlight w:val="none"/>
        </w:rPr>
        <w:t>水质应符合该标准</w:t>
      </w:r>
      <w:r>
        <w:rPr>
          <w:rFonts w:hint="eastAsia" w:ascii="宋体" w:hAnsi="宋体" w:eastAsia="宋体" w:cs="宋体"/>
          <w:color w:val="auto"/>
          <w:sz w:val="24"/>
          <w:szCs w:val="24"/>
          <w:highlight w:val="none"/>
          <w:lang w:val="en-US" w:eastAsia="zh-CN"/>
        </w:rPr>
        <w:t>条款3的</w:t>
      </w:r>
      <w:r>
        <w:rPr>
          <w:rFonts w:hint="eastAsia" w:ascii="宋体" w:hAnsi="宋体" w:eastAsia="宋体" w:cs="宋体"/>
          <w:color w:val="auto"/>
          <w:sz w:val="24"/>
          <w:szCs w:val="24"/>
          <w:highlight w:val="none"/>
        </w:rPr>
        <w:t>规定。</w:t>
      </w:r>
    </w:p>
    <w:p>
      <w:pPr>
        <w:bidi w:val="0"/>
        <w:spacing w:line="360" w:lineRule="auto"/>
        <w:ind w:firstLine="480" w:firstLineChars="200"/>
        <w:rPr>
          <w:rFonts w:hint="eastAsia" w:cs="宋体"/>
          <w:color w:val="auto"/>
          <w:sz w:val="24"/>
          <w:szCs w:val="24"/>
          <w:highlight w:val="none"/>
          <w:lang w:val="en-US" w:eastAsia="zh-CN"/>
        </w:rPr>
      </w:pPr>
      <w:r>
        <w:rPr>
          <w:rFonts w:hint="eastAsia" w:cs="宋体"/>
          <w:color w:val="auto"/>
          <w:sz w:val="24"/>
          <w:szCs w:val="24"/>
          <w:highlight w:val="none"/>
          <w:lang w:val="en-US" w:eastAsia="zh-CN"/>
        </w:rPr>
        <w:t>关于军曹鱼适宜生长的盐度、水温、pH、溶解氧等水质方面，众多学者有过论述。</w:t>
      </w:r>
    </w:p>
    <w:p>
      <w:pPr>
        <w:bidi w:val="0"/>
        <w:spacing w:line="360" w:lineRule="auto"/>
        <w:ind w:firstLine="480" w:firstLineChars="200"/>
        <w:rPr>
          <w:rFonts w:hint="default" w:eastAsia="宋体"/>
          <w:color w:val="auto"/>
          <w:highlight w:val="none"/>
          <w:lang w:val="en-US" w:eastAsia="zh-CN"/>
        </w:rPr>
      </w:pPr>
      <w:r>
        <w:rPr>
          <w:rFonts w:hint="eastAsia" w:cs="宋体"/>
          <w:color w:val="auto"/>
          <w:sz w:val="24"/>
          <w:szCs w:val="24"/>
          <w:highlight w:val="none"/>
          <w:lang w:val="en-US" w:eastAsia="zh-CN"/>
        </w:rPr>
        <w:t>盐度方面：刘兴旺等在《军曹鱼海水网箱养殖技术》中认为，</w:t>
      </w:r>
      <w:r>
        <w:rPr>
          <w:rFonts w:hint="eastAsia" w:ascii="宋体" w:hAnsi="宋体" w:eastAsia="宋体" w:cs="宋体"/>
          <w:color w:val="auto"/>
          <w:sz w:val="24"/>
          <w:szCs w:val="24"/>
          <w:highlight w:val="none"/>
          <w:lang w:val="en-US" w:eastAsia="zh-CN"/>
        </w:rPr>
        <w:t>为保证养殖的成功，养殖海区的盐度</w:t>
      </w:r>
      <w:r>
        <w:rPr>
          <w:rFonts w:hint="eastAsia" w:cs="宋体"/>
          <w:color w:val="auto"/>
          <w:sz w:val="24"/>
          <w:szCs w:val="24"/>
          <w:highlight w:val="none"/>
          <w:lang w:val="en-US" w:eastAsia="zh-CN"/>
        </w:rPr>
        <w:t>为</w:t>
      </w:r>
      <w:r>
        <w:rPr>
          <w:rFonts w:hint="eastAsia" w:ascii="宋体" w:hAnsi="宋体" w:eastAsia="宋体" w:cs="宋体"/>
          <w:color w:val="auto"/>
          <w:sz w:val="24"/>
          <w:szCs w:val="24"/>
          <w:highlight w:val="none"/>
          <w:lang w:val="en-US" w:eastAsia="zh-CN"/>
        </w:rPr>
        <w:t>25～35</w:t>
      </w:r>
      <w:r>
        <w:rPr>
          <w:rFonts w:hint="eastAsia" w:cs="宋体"/>
          <w:color w:val="auto"/>
          <w:sz w:val="24"/>
          <w:szCs w:val="24"/>
          <w:highlight w:val="none"/>
          <w:lang w:val="en-US" w:eastAsia="zh-CN"/>
        </w:rPr>
        <w:t>。王素霞在《军曹鱼的生物学特性及人工繁殖》中认为，</w:t>
      </w:r>
      <w:r>
        <w:rPr>
          <w:rFonts w:hint="eastAsia"/>
          <w:color w:val="auto"/>
          <w:highlight w:val="none"/>
          <w:lang w:val="en-US" w:eastAsia="zh-CN"/>
        </w:rPr>
        <w:t>军曹鱼为广盐性鱼类，适宜盐度8～35，较大的军曹鱼对低盐度的忍受力较低，盐度低于8，即没有摄食活动。作为食用鱼养殖，海水盐度宜保持在10以上为宜。</w:t>
      </w:r>
      <w:r>
        <w:rPr>
          <w:rFonts w:ascii="宋体" w:hAnsi="宋体" w:eastAsia="宋体" w:cs="宋体"/>
          <w:color w:val="auto"/>
          <w:sz w:val="24"/>
          <w:szCs w:val="24"/>
          <w:highlight w:val="none"/>
        </w:rPr>
        <w:t>艾春香</w:t>
      </w:r>
      <w:r>
        <w:rPr>
          <w:rFonts w:hint="eastAsia" w:ascii="宋体" w:hAnsi="宋体" w:eastAsia="宋体" w:cs="宋体"/>
          <w:color w:val="auto"/>
          <w:sz w:val="24"/>
          <w:szCs w:val="24"/>
          <w:highlight w:val="none"/>
          <w:lang w:val="en-US" w:eastAsia="zh-CN"/>
        </w:rPr>
        <w:t>在《</w:t>
      </w:r>
      <w:r>
        <w:rPr>
          <w:rFonts w:ascii="宋体" w:hAnsi="宋体" w:eastAsia="宋体" w:cs="宋体"/>
          <w:color w:val="auto"/>
          <w:sz w:val="24"/>
          <w:szCs w:val="24"/>
          <w:highlight w:val="none"/>
        </w:rPr>
        <w:t>军曹鱼的养殖生物学特性及营养需求</w:t>
      </w:r>
      <w:r>
        <w:rPr>
          <w:rFonts w:hint="eastAsia" w:ascii="宋体" w:hAnsi="宋体" w:eastAsia="宋体" w:cs="宋体"/>
          <w:color w:val="auto"/>
          <w:sz w:val="24"/>
          <w:szCs w:val="24"/>
          <w:highlight w:val="none"/>
          <w:lang w:val="en-US" w:eastAsia="zh-CN"/>
        </w:rPr>
        <w:t>》中提到</w:t>
      </w:r>
      <w:r>
        <w:rPr>
          <w:rFonts w:ascii="宋体" w:hAnsi="宋体" w:eastAsia="宋体" w:cs="宋体"/>
          <w:color w:val="auto"/>
          <w:sz w:val="24"/>
          <w:szCs w:val="24"/>
          <w:highlight w:val="none"/>
        </w:rPr>
        <w:t>军曹鱼是广盐性的海水鱼类</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在盐度为4～35时有明显的索饵活动。研究表明</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盐度在35以下以每日1的速度升高盐度升至40时</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摄食减半；43时仅有微弱的摄食行为；47时开始死亡。盐度由30直接降至5时不致于立即死亡尚有摄食行为。盐度在5时以每日降1的速度降至3</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无摄食行为</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并开始死亡。长时间在超高盐度或超低盐度生活</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可能导致其生长迟缓或抵抗力低下。较大的军曹鱼对低盐度的忍受力较低</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盐度低于8时</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即没有摄食活动。当作为食用鱼养殖时</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海水盐度应保持在10以上为宜。</w:t>
      </w:r>
      <w:r>
        <w:rPr>
          <w:rFonts w:hint="eastAsia" w:cs="宋体"/>
          <w:color w:val="auto"/>
          <w:sz w:val="24"/>
          <w:szCs w:val="24"/>
          <w:highlight w:val="none"/>
          <w:lang w:val="en-US" w:eastAsia="zh-CN"/>
        </w:rPr>
        <w:t>因此，军曹鱼养殖盐度为25～35。</w:t>
      </w:r>
    </w:p>
    <w:p>
      <w:pPr>
        <w:bidi w:val="0"/>
        <w:spacing w:line="360" w:lineRule="auto"/>
        <w:ind w:firstLine="480" w:firstLineChars="200"/>
        <w:rPr>
          <w:rFonts w:hint="eastAsia" w:cs="宋体"/>
          <w:color w:val="auto"/>
          <w:sz w:val="24"/>
          <w:szCs w:val="24"/>
          <w:highlight w:val="none"/>
          <w:lang w:val="en-US" w:eastAsia="zh-CN"/>
        </w:rPr>
      </w:pPr>
      <w:r>
        <w:rPr>
          <w:rFonts w:hint="eastAsia" w:cs="宋体"/>
          <w:color w:val="auto"/>
          <w:sz w:val="24"/>
          <w:szCs w:val="24"/>
          <w:highlight w:val="none"/>
          <w:lang w:val="en-US" w:eastAsia="zh-CN"/>
        </w:rPr>
        <w:t>水温方面：</w:t>
      </w:r>
      <w:r>
        <w:rPr>
          <w:rFonts w:hint="eastAsia" w:ascii="宋体" w:hAnsi="宋体" w:eastAsia="宋体" w:cs="宋体"/>
          <w:color w:val="auto"/>
          <w:sz w:val="24"/>
          <w:szCs w:val="24"/>
          <w:highlight w:val="none"/>
          <w:lang w:val="en-US" w:eastAsia="zh-CN"/>
        </w:rPr>
        <w:t>军曹鱼是热带鱼类，不耐低温，其适温范围为22～34℃，当水温低于16℃时会发生死亡</w:t>
      </w:r>
      <w:r>
        <w:rPr>
          <w:rFonts w:hint="eastAsia" w:cs="宋体"/>
          <w:color w:val="auto"/>
          <w:sz w:val="24"/>
          <w:szCs w:val="24"/>
          <w:highlight w:val="none"/>
          <w:lang w:val="en-US" w:eastAsia="zh-CN"/>
        </w:rPr>
        <w:t>。刘兴旺等在《军曹鱼海水网箱养殖技术》</w:t>
      </w:r>
      <w:r>
        <w:rPr>
          <w:rFonts w:hint="eastAsia" w:ascii="宋体" w:hAnsi="宋体" w:eastAsia="宋体" w:cs="宋体"/>
          <w:color w:val="auto"/>
          <w:sz w:val="24"/>
          <w:szCs w:val="24"/>
          <w:highlight w:val="none"/>
          <w:lang w:val="en-US" w:eastAsia="zh-CN"/>
        </w:rPr>
        <w:t>中</w:t>
      </w:r>
      <w:r>
        <w:rPr>
          <w:rFonts w:hint="eastAsia" w:cs="宋体"/>
          <w:color w:val="auto"/>
          <w:sz w:val="24"/>
          <w:szCs w:val="24"/>
          <w:highlight w:val="none"/>
          <w:lang w:val="en-US" w:eastAsia="zh-CN"/>
        </w:rPr>
        <w:t>认为，18</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～32℃为军曹鱼养殖成功的重要因素。王素霞在《军曹鱼的生物学特性及人工繁殖》中提到：</w:t>
      </w:r>
      <w:r>
        <w:rPr>
          <w:rFonts w:hint="eastAsia"/>
          <w:color w:val="auto"/>
          <w:highlight w:val="none"/>
          <w:lang w:val="en-US" w:eastAsia="zh-CN"/>
        </w:rPr>
        <w:t>经试验，军曹鱼胚胎发育适宜水温在24～31℃之间，仔鱼阶段（体重10～15g），水温低至20～21℃，摄食量明显降低， 19℃不摄食，17～18℃活动减弱，静止于水底，16℃开始死亡，水温23～34℃，有明显的索饵活动，当水温升到36℃时，虽有摄食行动，但开始死亡。</w:t>
      </w:r>
      <w:r>
        <w:rPr>
          <w:rFonts w:hint="default" w:ascii="宋体" w:hAnsi="宋体" w:eastAsia="宋体" w:cs="宋体"/>
          <w:color w:val="auto"/>
          <w:sz w:val="24"/>
          <w:szCs w:val="24"/>
          <w:highlight w:val="none"/>
          <w:lang w:val="en-US" w:eastAsia="zh-CN"/>
        </w:rPr>
        <w:t>姜志强等编著</w:t>
      </w:r>
      <w:r>
        <w:rPr>
          <w:rFonts w:hint="eastAsia" w:cs="宋体"/>
          <w:color w:val="auto"/>
          <w:sz w:val="24"/>
          <w:szCs w:val="24"/>
          <w:highlight w:val="none"/>
          <w:lang w:val="en-US" w:eastAsia="zh-CN"/>
        </w:rPr>
        <w:t>的《</w:t>
      </w:r>
      <w:r>
        <w:rPr>
          <w:rFonts w:hint="default" w:ascii="宋体" w:hAnsi="宋体" w:eastAsia="宋体" w:cs="宋体"/>
          <w:color w:val="auto"/>
          <w:sz w:val="24"/>
          <w:szCs w:val="24"/>
          <w:highlight w:val="none"/>
          <w:lang w:val="en-US" w:eastAsia="zh-CN"/>
        </w:rPr>
        <w:t>海水养殖鱼类生物学及养殖</w:t>
      </w:r>
      <w:r>
        <w:rPr>
          <w:rFonts w:hint="eastAsia" w:cs="宋体"/>
          <w:color w:val="auto"/>
          <w:sz w:val="24"/>
          <w:szCs w:val="24"/>
          <w:highlight w:val="none"/>
          <w:lang w:val="en-US" w:eastAsia="zh-CN"/>
        </w:rPr>
        <w:t>》一书中</w:t>
      </w:r>
      <w:r>
        <w:rPr>
          <w:rFonts w:hint="default" w:ascii="宋体" w:hAnsi="宋体" w:eastAsia="宋体" w:cs="宋体"/>
          <w:color w:val="auto"/>
          <w:sz w:val="24"/>
          <w:szCs w:val="24"/>
          <w:highlight w:val="none"/>
          <w:lang w:val="en-US" w:eastAsia="zh-CN"/>
        </w:rPr>
        <w:t>第224-225页</w:t>
      </w:r>
      <w:r>
        <w:rPr>
          <w:rFonts w:hint="eastAsia" w:cs="宋体"/>
          <w:color w:val="auto"/>
          <w:sz w:val="24"/>
          <w:szCs w:val="24"/>
          <w:highlight w:val="none"/>
          <w:lang w:val="en-US" w:eastAsia="zh-CN"/>
        </w:rPr>
        <w:t>提出与王素霞同样的观点。因此，军曹鱼养殖温度为23℃～32℃。</w:t>
      </w:r>
    </w:p>
    <w:p>
      <w:pPr>
        <w:bidi w:val="0"/>
        <w:spacing w:line="360" w:lineRule="auto"/>
        <w:ind w:firstLine="480" w:firstLineChars="200"/>
        <w:rPr>
          <w:rFonts w:hint="default" w:eastAsia="宋体" w:cs="宋体"/>
          <w:color w:val="auto"/>
          <w:sz w:val="24"/>
          <w:szCs w:val="24"/>
          <w:highlight w:val="none"/>
          <w:lang w:val="en-US" w:eastAsia="zh-CN"/>
        </w:rPr>
      </w:pPr>
      <w:r>
        <w:rPr>
          <w:rFonts w:hint="eastAsia" w:cs="宋体"/>
          <w:color w:val="auto"/>
          <w:sz w:val="24"/>
          <w:szCs w:val="24"/>
          <w:highlight w:val="none"/>
          <w:lang w:val="en-US" w:eastAsia="zh-CN"/>
        </w:rPr>
        <w:t>pH方面：刘兴旺等在《军曹鱼海水网箱养殖技术》</w:t>
      </w:r>
      <w:r>
        <w:rPr>
          <w:rFonts w:hint="eastAsia" w:ascii="宋体" w:hAnsi="宋体" w:eastAsia="宋体" w:cs="宋体"/>
          <w:color w:val="auto"/>
          <w:sz w:val="24"/>
          <w:szCs w:val="24"/>
          <w:highlight w:val="none"/>
          <w:lang w:val="en-US" w:eastAsia="zh-CN"/>
        </w:rPr>
        <w:t>中</w:t>
      </w:r>
      <w:r>
        <w:rPr>
          <w:rFonts w:hint="eastAsia" w:cs="宋体"/>
          <w:color w:val="auto"/>
          <w:sz w:val="24"/>
          <w:szCs w:val="24"/>
          <w:highlight w:val="none"/>
          <w:lang w:val="en-US" w:eastAsia="zh-CN"/>
        </w:rPr>
        <w:t>提到，</w:t>
      </w:r>
      <w:r>
        <w:rPr>
          <w:rFonts w:hint="eastAsia"/>
          <w:color w:val="auto"/>
          <w:highlight w:val="none"/>
          <w:lang w:val="en-US" w:eastAsia="zh-CN"/>
        </w:rPr>
        <w:t>为保证养殖的成功，</w:t>
      </w:r>
      <w:r>
        <w:rPr>
          <w:rFonts w:hint="eastAsia" w:ascii="宋体" w:hAnsi="宋体" w:eastAsia="宋体" w:cs="宋体"/>
          <w:color w:val="auto"/>
          <w:sz w:val="24"/>
          <w:szCs w:val="24"/>
          <w:highlight w:val="none"/>
          <w:lang w:val="en-US" w:eastAsia="zh-CN"/>
        </w:rPr>
        <w:t>养殖海区的水质应满足</w:t>
      </w:r>
      <w:r>
        <w:rPr>
          <w:rFonts w:hint="eastAsia" w:cs="宋体"/>
          <w:color w:val="auto"/>
          <w:sz w:val="24"/>
          <w:szCs w:val="24"/>
          <w:highlight w:val="none"/>
          <w:lang w:val="en-US" w:eastAsia="zh-CN"/>
        </w:rPr>
        <w:t>pH7～9。</w:t>
      </w:r>
      <w:r>
        <w:rPr>
          <w:rFonts w:hint="eastAsia" w:ascii="宋体" w:hAnsi="宋体" w:eastAsia="宋体" w:cs="宋体"/>
          <w:color w:val="auto"/>
          <w:sz w:val="24"/>
          <w:szCs w:val="24"/>
          <w:highlight w:val="none"/>
        </w:rPr>
        <w:t>GB 11607</w:t>
      </w:r>
      <w:r>
        <w:rPr>
          <w:rFonts w:hint="eastAsia" w:cs="宋体"/>
          <w:color w:val="auto"/>
          <w:sz w:val="24"/>
          <w:szCs w:val="24"/>
          <w:highlight w:val="none"/>
          <w:lang w:val="en-US" w:eastAsia="zh-CN"/>
        </w:rPr>
        <w:t>条款3提到，渔业水质标准中海水pH为7～8.5，广东省地方标准</w:t>
      </w:r>
      <w:r>
        <w:rPr>
          <w:rFonts w:hint="default" w:cs="宋体"/>
          <w:color w:val="auto"/>
          <w:sz w:val="24"/>
          <w:szCs w:val="24"/>
          <w:highlight w:val="none"/>
          <w:lang w:val="en-US" w:eastAsia="zh-CN"/>
        </w:rPr>
        <w:t>DB44/T 2380—2022</w:t>
      </w:r>
      <w:r>
        <w:rPr>
          <w:rFonts w:hint="eastAsia" w:cs="宋体"/>
          <w:color w:val="auto"/>
          <w:sz w:val="24"/>
          <w:szCs w:val="24"/>
          <w:highlight w:val="none"/>
          <w:lang w:val="en-US" w:eastAsia="zh-CN"/>
        </w:rPr>
        <w:t>军曹鱼网箱养殖技术规范4.2及海南省地方标准</w:t>
      </w:r>
      <w:r>
        <w:rPr>
          <w:rFonts w:hint="default" w:cs="宋体"/>
          <w:color w:val="auto"/>
          <w:sz w:val="24"/>
          <w:szCs w:val="24"/>
          <w:highlight w:val="none"/>
          <w:lang w:val="en-US" w:eastAsia="zh-CN"/>
        </w:rPr>
        <w:t>DB46/T 170—2009</w:t>
      </w:r>
      <w:r>
        <w:rPr>
          <w:rFonts w:hint="eastAsia" w:cs="宋体"/>
          <w:color w:val="auto"/>
          <w:sz w:val="24"/>
          <w:szCs w:val="24"/>
          <w:highlight w:val="none"/>
          <w:lang w:val="en-US" w:eastAsia="zh-CN"/>
        </w:rPr>
        <w:t>军曹鱼深水网箱养殖技术规程4.2中提及pH为7.5～8.5，因此，本标准将pH定为7.5～8.5。</w:t>
      </w:r>
    </w:p>
    <w:p>
      <w:pPr>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color w:val="auto"/>
          <w:highlight w:val="none"/>
          <w:lang w:val="en-US" w:eastAsia="zh-CN"/>
        </w:rPr>
        <w:t>溶解氧方面：刘兴旺等在《军曹鱼海水网箱养殖技术》中提到，为保证养殖的成功，养殖海区的溶解氧在5mg/L以上。王素霞在《军曹鱼的生物学特性及人工繁殖》中提到，经试验，平均体重0.5g的鱼苗，30℃时的耗氧量为1.08mg/g· h，致死溶氧量为1.7mg/L；水温28℃时的耗氧量为0.86mg/g·h，致死溶氧量为1.5mg/L；一般情况下，水温较高时，耗氧量相对提高，个体愈大，耗氧愈高。</w:t>
      </w:r>
      <w:r>
        <w:rPr>
          <w:rFonts w:ascii="宋体" w:hAnsi="宋体" w:eastAsia="宋体" w:cs="宋体"/>
          <w:color w:val="auto"/>
          <w:sz w:val="24"/>
          <w:szCs w:val="24"/>
          <w:highlight w:val="none"/>
        </w:rPr>
        <w:t>王维政，曾泽乾，黄建盛</w:t>
      </w:r>
      <w:r>
        <w:rPr>
          <w:rFonts w:hint="eastAsia" w:ascii="宋体" w:hAnsi="宋体" w:eastAsia="宋体" w:cs="宋体"/>
          <w:color w:val="auto"/>
          <w:sz w:val="24"/>
          <w:szCs w:val="24"/>
          <w:highlight w:val="none"/>
          <w:lang w:val="en-US" w:eastAsia="zh-CN"/>
        </w:rPr>
        <w:t>等通过试验发现，</w:t>
      </w:r>
      <w:r>
        <w:rPr>
          <w:rFonts w:ascii="宋体" w:hAnsi="宋体" w:eastAsia="宋体" w:cs="宋体"/>
          <w:color w:val="auto"/>
          <w:sz w:val="24"/>
          <w:szCs w:val="24"/>
          <w:highlight w:val="none"/>
        </w:rPr>
        <w:t>(2.98±0.40) mg/L</w:t>
      </w:r>
      <w:r>
        <w:rPr>
          <w:rFonts w:hint="eastAsia" w:ascii="宋体" w:hAnsi="宋体" w:eastAsia="宋体" w:cs="宋体"/>
          <w:color w:val="auto"/>
          <w:sz w:val="24"/>
          <w:szCs w:val="24"/>
          <w:highlight w:val="none"/>
          <w:lang w:val="en-US" w:eastAsia="zh-CN"/>
        </w:rPr>
        <w:t>的低氧胁迫对</w:t>
      </w:r>
      <w:r>
        <w:rPr>
          <w:rFonts w:ascii="宋体" w:hAnsi="宋体" w:eastAsia="宋体" w:cs="宋体"/>
          <w:color w:val="auto"/>
          <w:sz w:val="24"/>
          <w:szCs w:val="24"/>
          <w:highlight w:val="none"/>
        </w:rPr>
        <w:t>(12.52±1.32) g</w:t>
      </w:r>
      <w:r>
        <w:rPr>
          <w:rFonts w:hint="eastAsia" w:ascii="宋体" w:hAnsi="宋体" w:eastAsia="宋体" w:cs="宋体"/>
          <w:color w:val="auto"/>
          <w:sz w:val="24"/>
          <w:szCs w:val="24"/>
          <w:highlight w:val="none"/>
          <w:lang w:val="en-US" w:eastAsia="zh-CN"/>
        </w:rPr>
        <w:t>规格的</w:t>
      </w:r>
      <w:r>
        <w:rPr>
          <w:rFonts w:ascii="宋体" w:hAnsi="宋体" w:eastAsia="宋体" w:cs="宋体"/>
          <w:color w:val="auto"/>
          <w:sz w:val="24"/>
          <w:szCs w:val="24"/>
          <w:highlight w:val="none"/>
        </w:rPr>
        <w:t>军曹鱼幼鱼</w:t>
      </w:r>
      <w:r>
        <w:rPr>
          <w:rFonts w:hint="eastAsia" w:ascii="宋体" w:hAnsi="宋体" w:eastAsia="宋体" w:cs="宋体"/>
          <w:color w:val="auto"/>
          <w:sz w:val="24"/>
          <w:szCs w:val="24"/>
          <w:highlight w:val="none"/>
          <w:lang w:val="en-US" w:eastAsia="zh-CN"/>
        </w:rPr>
        <w:t>造成</w:t>
      </w:r>
      <w:r>
        <w:rPr>
          <w:rFonts w:ascii="宋体" w:hAnsi="宋体" w:eastAsia="宋体" w:cs="宋体"/>
          <w:color w:val="auto"/>
          <w:sz w:val="24"/>
          <w:szCs w:val="24"/>
          <w:highlight w:val="none"/>
        </w:rPr>
        <w:t>氧化损伤，刺激自身免疫系统，通过调整相关酶活力及能量代谢的方式提高其适应低氧的能力。(3.15±0.21) mg/L</w:t>
      </w:r>
      <w:r>
        <w:rPr>
          <w:rFonts w:hint="eastAsia" w:ascii="宋体" w:hAnsi="宋体" w:eastAsia="宋体" w:cs="宋体"/>
          <w:color w:val="auto"/>
          <w:sz w:val="24"/>
          <w:szCs w:val="24"/>
          <w:highlight w:val="none"/>
          <w:lang w:val="en-US" w:eastAsia="zh-CN"/>
        </w:rPr>
        <w:t>的</w:t>
      </w:r>
      <w:r>
        <w:rPr>
          <w:rFonts w:ascii="宋体" w:hAnsi="宋体" w:eastAsia="宋体" w:cs="宋体"/>
          <w:color w:val="auto"/>
          <w:sz w:val="24"/>
          <w:szCs w:val="24"/>
          <w:highlight w:val="none"/>
        </w:rPr>
        <w:t>低氧胁迫对(50.44± 2.78) g</w:t>
      </w:r>
      <w:r>
        <w:rPr>
          <w:rFonts w:hint="eastAsia" w:cs="宋体"/>
          <w:color w:val="auto"/>
          <w:sz w:val="24"/>
          <w:szCs w:val="24"/>
          <w:highlight w:val="none"/>
          <w:lang w:val="en-US" w:eastAsia="zh-CN"/>
        </w:rPr>
        <w:t>规格的</w:t>
      </w:r>
      <w:r>
        <w:rPr>
          <w:rFonts w:ascii="宋体" w:hAnsi="宋体" w:eastAsia="宋体" w:cs="宋体"/>
          <w:color w:val="auto"/>
          <w:sz w:val="24"/>
          <w:szCs w:val="24"/>
          <w:highlight w:val="none"/>
        </w:rPr>
        <w:t>军曹鱼幼鱼造成一定程度的氧化损伤，抑制其生长并使血清生化和非特异性免疫相关指标发生显著变化，表明军曹鱼机体物质代谢和免疫系统受到影响。因此在军曹鱼的养殖过程中要避免长时间的低氧胁迫，保持水体溶氧充足</w:t>
      </w:r>
      <w:r>
        <w:rPr>
          <w:rFonts w:hint="eastAsia" w:ascii="宋体" w:hAnsi="宋体" w:eastAsia="宋体" w:cs="宋体"/>
          <w:color w:val="auto"/>
          <w:sz w:val="24"/>
          <w:szCs w:val="24"/>
          <w:highlight w:val="none"/>
          <w:lang w:eastAsia="zh-CN"/>
        </w:rPr>
        <w:t>。</w:t>
      </w:r>
      <w:r>
        <w:rPr>
          <w:rFonts w:hint="eastAsia" w:cs="宋体"/>
          <w:color w:val="auto"/>
          <w:sz w:val="24"/>
          <w:szCs w:val="24"/>
          <w:highlight w:val="none"/>
          <w:lang w:val="en-US" w:eastAsia="zh-CN"/>
        </w:rPr>
        <w:t>因此，军曹鱼生长所需溶解氧宜≥5mg/L。</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2.养殖平台设施</w:t>
      </w:r>
    </w:p>
    <w:p>
      <w:pPr>
        <w:widowControl w:val="0"/>
        <w:spacing w:line="360" w:lineRule="auto"/>
        <w:ind w:firstLine="480" w:firstLineChars="200"/>
        <w:jc w:val="both"/>
        <w:rPr>
          <w:rFonts w:hint="eastAsia"/>
          <w:color w:val="auto"/>
          <w:highlight w:val="none"/>
          <w:lang w:val="en-US" w:eastAsia="zh-CN"/>
        </w:rPr>
      </w:pPr>
      <w:r>
        <w:rPr>
          <w:rFonts w:hint="eastAsia"/>
          <w:color w:val="auto"/>
          <w:highlight w:val="none"/>
          <w:lang w:val="en-US" w:eastAsia="zh-CN"/>
        </w:rPr>
        <w:t>深远海养殖平台设施包括主体框架结构、锚泊与稳定性系统、网衣与养殖单元、能源与动力系统、智能化配套系统、生活设施等。</w:t>
      </w:r>
    </w:p>
    <w:p>
      <w:pPr>
        <w:widowControl w:val="0"/>
        <w:spacing w:line="360" w:lineRule="auto"/>
        <w:ind w:firstLine="482" w:firstLineChars="200"/>
        <w:jc w:val="both"/>
        <w:rPr>
          <w:rFonts w:hint="eastAsia"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2.1</w:t>
      </w:r>
      <w:r>
        <w:rPr>
          <w:rFonts w:hint="eastAsia" w:cs="宋体"/>
          <w:b/>
          <w:bCs/>
          <w:snapToGrid w:val="0"/>
          <w:color w:val="auto"/>
          <w:sz w:val="24"/>
          <w:szCs w:val="24"/>
          <w:highlight w:val="none"/>
          <w:lang w:val="en-US" w:eastAsia="zh-CN"/>
        </w:rPr>
        <w:t>主体框架系统</w:t>
      </w:r>
    </w:p>
    <w:p>
      <w:pPr>
        <w:bidi w:val="0"/>
        <w:spacing w:line="360" w:lineRule="auto"/>
        <w:ind w:firstLine="480" w:firstLineChars="200"/>
        <w:rPr>
          <w:rFonts w:hint="eastAsia"/>
          <w:color w:val="auto"/>
          <w:highlight w:val="none"/>
          <w:lang w:eastAsia="zh-CN"/>
        </w:rPr>
      </w:pPr>
      <w:r>
        <w:rPr>
          <w:rFonts w:hint="eastAsia"/>
          <w:color w:val="auto"/>
          <w:highlight w:val="none"/>
        </w:rPr>
        <w:t>采用‌三角形单元或四边形网格‌的平面/空间桁架设计，杆件通过焊接或螺栓连接，形成高强度、轻量化的支撑框架</w:t>
      </w:r>
      <w:r>
        <w:rPr>
          <w:rFonts w:hint="eastAsia"/>
          <w:color w:val="auto"/>
          <w:highlight w:val="none"/>
          <w:lang w:eastAsia="zh-CN"/>
        </w:rPr>
        <w:t>，</w:t>
      </w:r>
      <w:r>
        <w:rPr>
          <w:rFonts w:hint="eastAsia"/>
          <w:color w:val="auto"/>
          <w:highlight w:val="none"/>
        </w:rPr>
        <w:t>常见形式包括‌浮动式桁架网箱‌（如四角方凳形）和‌自升式桁架平台‌（带桩腿结构）</w:t>
      </w:r>
      <w:r>
        <w:rPr>
          <w:rFonts w:hint="eastAsia"/>
          <w:color w:val="auto"/>
          <w:highlight w:val="none"/>
          <w:lang w:eastAsia="zh-CN"/>
        </w:rPr>
        <w:t>。</w:t>
      </w:r>
      <w:r>
        <w:rPr>
          <w:rFonts w:hint="eastAsia"/>
          <w:color w:val="auto"/>
          <w:highlight w:val="none"/>
        </w:rPr>
        <w:t>主框架多采用‌高强度耐腐蚀合金‌（如不锈钢、铝合金）或‌复合材料‌，兼顾轻量化与抗海水腐蚀需</w:t>
      </w:r>
      <w:r>
        <w:rPr>
          <w:rFonts w:hint="eastAsia"/>
          <w:color w:val="auto"/>
          <w:highlight w:val="none"/>
          <w:lang w:val="en-US" w:eastAsia="zh-CN"/>
        </w:rPr>
        <w:t>求</w:t>
      </w:r>
      <w:r>
        <w:rPr>
          <w:rFonts w:hint="eastAsia"/>
          <w:color w:val="auto"/>
          <w:highlight w:val="none"/>
          <w:lang w:eastAsia="zh-CN"/>
        </w:rPr>
        <w:t>。</w:t>
      </w:r>
      <w:r>
        <w:rPr>
          <w:rFonts w:hint="eastAsia"/>
          <w:color w:val="auto"/>
          <w:highlight w:val="none"/>
        </w:rPr>
        <w:t>关键连接节点使用‌镀锌钢或特种涂层处理‌，延长使用寿命</w:t>
      </w:r>
      <w:r>
        <w:rPr>
          <w:rFonts w:hint="eastAsia"/>
          <w:color w:val="auto"/>
          <w:highlight w:val="none"/>
          <w:lang w:eastAsia="zh-CN"/>
        </w:rPr>
        <w:t>。</w:t>
      </w:r>
    </w:p>
    <w:p>
      <w:pPr>
        <w:bidi w:val="0"/>
        <w:spacing w:line="360" w:lineRule="auto"/>
        <w:ind w:firstLine="480" w:firstLineChars="200"/>
        <w:rPr>
          <w:rFonts w:hint="eastAsia"/>
          <w:color w:val="auto"/>
          <w:highlight w:val="none"/>
          <w:lang w:val="en-US" w:eastAsia="zh-CN"/>
        </w:rPr>
      </w:pPr>
      <w:r>
        <w:rPr>
          <w:rFonts w:hint="eastAsia"/>
          <w:color w:val="auto"/>
          <w:highlight w:val="none"/>
          <w:lang w:val="en-US" w:eastAsia="zh-CN"/>
        </w:rPr>
        <w:t>我国养殖平台主要类型有以下几种：</w:t>
      </w:r>
    </w:p>
    <w:p>
      <w:pPr>
        <w:bidi w:val="0"/>
        <w:spacing w:line="360" w:lineRule="auto"/>
        <w:ind w:firstLine="482" w:firstLineChars="200"/>
        <w:rPr>
          <w:rFonts w:hint="eastAsia"/>
          <w:color w:val="auto"/>
          <w:highlight w:val="none"/>
          <w:lang w:val="en-US" w:eastAsia="zh-CN"/>
        </w:rPr>
      </w:pPr>
      <w:r>
        <w:rPr>
          <w:rFonts w:hint="default"/>
          <w:b/>
          <w:bCs/>
          <w:color w:val="auto"/>
          <w:highlight w:val="none"/>
          <w:lang w:val="en-US" w:eastAsia="zh-CN"/>
        </w:rPr>
        <w:t>漂浮式动力定位养殖平台</w:t>
      </w:r>
      <w:r>
        <w:rPr>
          <w:rFonts w:hint="eastAsia"/>
          <w:b/>
          <w:bCs/>
          <w:color w:val="auto"/>
          <w:highlight w:val="none"/>
          <w:lang w:val="en-US" w:eastAsia="zh-CN"/>
        </w:rPr>
        <w:t>：</w:t>
      </w:r>
      <w:r>
        <w:rPr>
          <w:rFonts w:hint="default"/>
          <w:color w:val="auto"/>
          <w:highlight w:val="none"/>
          <w:lang w:val="en-US" w:eastAsia="zh-CN"/>
        </w:rPr>
        <w:t>采用动力定位系统，可在开放海域自主调整位置，抗风浪能力优异，适配深远海复杂环境</w:t>
      </w:r>
      <w:r>
        <w:rPr>
          <w:rFonts w:hint="eastAsia"/>
          <w:color w:val="auto"/>
          <w:highlight w:val="none"/>
          <w:lang w:val="en-US" w:eastAsia="zh-CN"/>
        </w:rPr>
        <w:t>，如</w:t>
      </w:r>
      <w:r>
        <w:rPr>
          <w:rFonts w:hint="default"/>
          <w:color w:val="auto"/>
          <w:highlight w:val="none"/>
          <w:lang w:val="en-US" w:eastAsia="zh-CN"/>
        </w:rPr>
        <w:t>全球首创的“湛江湾1号”平台</w:t>
      </w:r>
      <w:r>
        <w:rPr>
          <w:rFonts w:hint="eastAsia"/>
          <w:color w:val="auto"/>
          <w:highlight w:val="none"/>
          <w:lang w:val="en-US" w:eastAsia="zh-CN"/>
        </w:rPr>
        <w:t>。</w:t>
      </w:r>
    </w:p>
    <w:p>
      <w:pPr>
        <w:bidi w:val="0"/>
        <w:spacing w:line="360" w:lineRule="auto"/>
        <w:ind w:firstLine="482" w:firstLineChars="200"/>
        <w:rPr>
          <w:rFonts w:hint="default"/>
          <w:color w:val="auto"/>
          <w:highlight w:val="none"/>
          <w:lang w:val="en-US" w:eastAsia="zh-CN"/>
        </w:rPr>
      </w:pPr>
      <w:r>
        <w:rPr>
          <w:rFonts w:hint="eastAsia"/>
          <w:b/>
          <w:bCs/>
          <w:color w:val="auto"/>
          <w:highlight w:val="none"/>
        </w:rPr>
        <w:t>‌浮动式桁架网箱</w:t>
      </w:r>
      <w:r>
        <w:rPr>
          <w:rFonts w:hint="eastAsia"/>
          <w:b/>
          <w:bCs/>
          <w:color w:val="auto"/>
          <w:highlight w:val="none"/>
          <w:lang w:val="en-US" w:eastAsia="zh-CN"/>
        </w:rPr>
        <w:t>：</w:t>
      </w:r>
      <w:r>
        <w:rPr>
          <w:rFonts w:hint="default"/>
          <w:color w:val="auto"/>
          <w:highlight w:val="none"/>
          <w:lang w:val="en-US" w:eastAsia="zh-CN"/>
        </w:rPr>
        <w:t>通过钢结构框架与浮体拼接，形成大容量养殖空间，抗台风能力可达15级以上</w:t>
      </w:r>
      <w:r>
        <w:rPr>
          <w:rFonts w:hint="eastAsia"/>
          <w:color w:val="auto"/>
          <w:highlight w:val="none"/>
          <w:lang w:val="en-US" w:eastAsia="zh-CN"/>
        </w:rPr>
        <w:t>，</w:t>
      </w:r>
      <w:r>
        <w:rPr>
          <w:rFonts w:hint="default"/>
          <w:color w:val="auto"/>
          <w:highlight w:val="none"/>
          <w:lang w:val="en-US" w:eastAsia="zh-CN"/>
        </w:rPr>
        <w:t>如“耕海1号”采用三叶草造型</w:t>
      </w:r>
      <w:r>
        <w:rPr>
          <w:rFonts w:hint="eastAsia"/>
          <w:color w:val="auto"/>
          <w:highlight w:val="none"/>
          <w:lang w:val="en-US" w:eastAsia="zh-CN"/>
        </w:rPr>
        <w:t>。</w:t>
      </w:r>
      <w:r>
        <w:rPr>
          <w:rFonts w:hint="default"/>
          <w:color w:val="auto"/>
          <w:highlight w:val="none"/>
          <w:lang w:val="en-US" w:eastAsia="zh-CN"/>
        </w:rPr>
        <w:t>“乾动1号”由直径26米的养殖网箱和长67.6米的结构浮体组成，可抵御15级台风，养殖水体达2万立方米</w:t>
      </w:r>
      <w:r>
        <w:rPr>
          <w:rFonts w:hint="eastAsia"/>
          <w:color w:val="auto"/>
          <w:highlight w:val="none"/>
          <w:lang w:val="en-US" w:eastAsia="zh-CN"/>
        </w:rPr>
        <w:t>。</w:t>
      </w:r>
    </w:p>
    <w:p>
      <w:pPr>
        <w:bidi w:val="0"/>
        <w:spacing w:line="360" w:lineRule="auto"/>
        <w:ind w:firstLine="480" w:firstLineChars="200"/>
        <w:rPr>
          <w:rFonts w:hint="eastAsia"/>
          <w:color w:val="auto"/>
          <w:highlight w:val="none"/>
          <w:lang w:val="en-US" w:eastAsia="zh-CN"/>
        </w:rPr>
      </w:pPr>
      <w:r>
        <w:rPr>
          <w:rFonts w:hint="eastAsia"/>
          <w:color w:val="auto"/>
          <w:highlight w:val="none"/>
        </w:rPr>
        <w:t>‌自升式桁架</w:t>
      </w:r>
      <w:r>
        <w:rPr>
          <w:rFonts w:hint="eastAsia"/>
          <w:b/>
          <w:bCs/>
          <w:color w:val="auto"/>
          <w:highlight w:val="none"/>
        </w:rPr>
        <w:t>网箱</w:t>
      </w:r>
      <w:r>
        <w:rPr>
          <w:rFonts w:hint="eastAsia"/>
          <w:color w:val="auto"/>
          <w:highlight w:val="none"/>
        </w:rPr>
        <w:t>‌（带桩腿结构）</w:t>
      </w:r>
      <w:r>
        <w:rPr>
          <w:rFonts w:hint="eastAsia"/>
          <w:color w:val="auto"/>
          <w:highlight w:val="none"/>
          <w:lang w:val="en-US" w:eastAsia="zh-CN"/>
        </w:rPr>
        <w:t>：</w:t>
      </w:r>
      <w:r>
        <w:rPr>
          <w:rFonts w:hint="default"/>
          <w:color w:val="auto"/>
          <w:highlight w:val="none"/>
          <w:lang w:val="en-US" w:eastAsia="zh-CN"/>
        </w:rPr>
        <w:t>如广东首台自升式网箱采用25×25米的钢结构框架和45米桩腿，支持升降功能以抵御16级台风，养殖空间达1万立方米</w:t>
      </w:r>
      <w:r>
        <w:rPr>
          <w:rFonts w:hint="eastAsia"/>
          <w:color w:val="auto"/>
          <w:highlight w:val="none"/>
          <w:lang w:val="en-US" w:eastAsia="zh-CN"/>
        </w:rPr>
        <w:t>。</w:t>
      </w:r>
    </w:p>
    <w:p>
      <w:pPr>
        <w:bidi w:val="0"/>
        <w:spacing w:line="360" w:lineRule="auto"/>
        <w:ind w:firstLine="482" w:firstLineChars="200"/>
        <w:rPr>
          <w:rFonts w:hint="eastAsia"/>
          <w:color w:val="auto"/>
          <w:highlight w:val="none"/>
          <w:lang w:val="en-US" w:eastAsia="zh-CN"/>
        </w:rPr>
      </w:pPr>
      <w:r>
        <w:rPr>
          <w:rFonts w:hint="eastAsia"/>
          <w:b/>
          <w:bCs/>
          <w:color w:val="auto"/>
          <w:highlight w:val="none"/>
          <w:lang w:val="en-US" w:eastAsia="zh-CN"/>
        </w:rPr>
        <w:t>半潜/全潜网箱平台：</w:t>
      </w:r>
      <w:r>
        <w:rPr>
          <w:rFonts w:hint="default"/>
          <w:color w:val="auto"/>
          <w:highlight w:val="none"/>
          <w:lang w:val="en-US" w:eastAsia="zh-CN"/>
        </w:rPr>
        <w:t>通过下沉或半潜设计降低极端天气影响</w:t>
      </w:r>
      <w:r>
        <w:rPr>
          <w:rFonts w:hint="eastAsia"/>
          <w:color w:val="auto"/>
          <w:highlight w:val="none"/>
          <w:lang w:val="en-US" w:eastAsia="zh-CN"/>
        </w:rPr>
        <w:t>，半潜式如“恒燚一号”、</w:t>
      </w:r>
      <w:r>
        <w:rPr>
          <w:rFonts w:hint="default"/>
          <w:color w:val="auto"/>
          <w:highlight w:val="none"/>
          <w:lang w:val="en-US" w:eastAsia="zh-CN"/>
        </w:rPr>
        <w:t>“东海1号”</w:t>
      </w:r>
      <w:r>
        <w:rPr>
          <w:rFonts w:hint="eastAsia"/>
          <w:color w:val="auto"/>
          <w:highlight w:val="none"/>
          <w:lang w:val="en-US" w:eastAsia="zh-CN"/>
        </w:rPr>
        <w:t>，全潜式如</w:t>
      </w:r>
      <w:r>
        <w:rPr>
          <w:rFonts w:hint="default"/>
          <w:color w:val="auto"/>
          <w:highlight w:val="none"/>
          <w:lang w:val="en-US" w:eastAsia="zh-CN"/>
        </w:rPr>
        <w:t>“深蓝1号</w:t>
      </w:r>
      <w:r>
        <w:rPr>
          <w:rFonts w:hint="eastAsia"/>
          <w:color w:val="auto"/>
          <w:highlight w:val="none"/>
          <w:lang w:val="en-US" w:eastAsia="zh-CN"/>
        </w:rPr>
        <w:t>”、</w:t>
      </w:r>
      <w:r>
        <w:rPr>
          <w:rFonts w:hint="default"/>
          <w:color w:val="auto"/>
          <w:highlight w:val="none"/>
          <w:lang w:val="en-US" w:eastAsia="zh-CN"/>
        </w:rPr>
        <w:t>“深蓝2号”</w:t>
      </w:r>
      <w:r>
        <w:rPr>
          <w:rFonts w:hint="eastAsia"/>
          <w:color w:val="auto"/>
          <w:highlight w:val="none"/>
          <w:lang w:val="en-US" w:eastAsia="zh-CN"/>
        </w:rPr>
        <w:t>，</w:t>
      </w:r>
      <w:r>
        <w:rPr>
          <w:rFonts w:hint="default"/>
          <w:color w:val="auto"/>
          <w:highlight w:val="none"/>
          <w:lang w:val="en-US" w:eastAsia="zh-CN"/>
        </w:rPr>
        <w:t>采用全潜式设计，总高度71.5米，直径70米，养殖水体达9万立方米，通过下沉至安全水深增强抗风浪能力</w:t>
      </w:r>
      <w:r>
        <w:rPr>
          <w:rFonts w:hint="eastAsia"/>
          <w:color w:val="auto"/>
          <w:highlight w:val="none"/>
          <w:lang w:val="en-US" w:eastAsia="zh-CN"/>
        </w:rPr>
        <w:t>。</w:t>
      </w:r>
    </w:p>
    <w:p>
      <w:pPr>
        <w:widowControl w:val="0"/>
        <w:spacing w:line="360" w:lineRule="auto"/>
        <w:ind w:firstLine="482" w:firstLineChars="200"/>
        <w:jc w:val="both"/>
        <w:rPr>
          <w:rFonts w:hint="eastAsia"/>
          <w:b/>
          <w:bCs/>
          <w:color w:val="auto"/>
          <w:highlight w:val="none"/>
          <w:lang w:val="en-US" w:eastAsia="zh-CN"/>
        </w:rPr>
      </w:pPr>
      <w:r>
        <w:rPr>
          <w:rFonts w:hint="eastAsia" w:cs="宋体"/>
          <w:b/>
          <w:bCs/>
          <w:snapToGrid w:val="0"/>
          <w:color w:val="auto"/>
          <w:sz w:val="24"/>
          <w:szCs w:val="24"/>
          <w:highlight w:val="none"/>
          <w:lang w:val="en-US" w:eastAsia="zh-CN"/>
        </w:rPr>
        <w:t>2.2</w:t>
      </w:r>
      <w:r>
        <w:rPr>
          <w:rFonts w:hint="eastAsia"/>
          <w:b/>
          <w:bCs/>
          <w:color w:val="auto"/>
          <w:highlight w:val="none"/>
          <w:lang w:val="en-US" w:eastAsia="zh-CN"/>
        </w:rPr>
        <w:t>锚泊与稳定性系统</w:t>
      </w:r>
    </w:p>
    <w:p>
      <w:pPr>
        <w:bidi w:val="0"/>
        <w:spacing w:line="360" w:lineRule="auto"/>
        <w:ind w:firstLine="480" w:firstLineChars="200"/>
        <w:rPr>
          <w:rFonts w:hint="eastAsia"/>
          <w:color w:val="auto"/>
          <w:highlight w:val="none"/>
          <w:lang w:val="en-US" w:eastAsia="zh-CN"/>
        </w:rPr>
      </w:pPr>
      <w:r>
        <w:rPr>
          <w:rFonts w:hint="eastAsia"/>
          <w:color w:val="auto"/>
          <w:highlight w:val="none"/>
          <w:lang w:val="en-US" w:eastAsia="zh-CN"/>
        </w:rPr>
        <w:t>平台通过锚泊系统与结构浮体协同，借助液压或机械驱动系统实现平台整体或局部升降，使浮式平台或设备部分或全部潜没于水中并稳定定位，以适应不同水深养殖需求，同时兼顾台风、巨浪等极端天气下的安全防护，降低流速分层对养殖网箱的冲击，提升抗风浪能力。例如“湛农1号”等平台通过锚泊系统与结构浮体协同，降低流速分层对养殖网箱的冲击，提升抗风浪能力。</w:t>
      </w:r>
    </w:p>
    <w:p>
      <w:pPr>
        <w:widowControl w:val="0"/>
        <w:spacing w:line="360" w:lineRule="auto"/>
        <w:ind w:firstLine="482" w:firstLineChars="200"/>
        <w:jc w:val="both"/>
        <w:rPr>
          <w:rFonts w:hint="eastAsia"/>
          <w:b/>
          <w:bCs/>
          <w:color w:val="auto"/>
          <w:highlight w:val="none"/>
          <w:lang w:val="en-US" w:eastAsia="zh-CN"/>
        </w:rPr>
      </w:pPr>
      <w:r>
        <w:rPr>
          <w:rFonts w:hint="eastAsia"/>
          <w:b/>
          <w:bCs/>
          <w:color w:val="auto"/>
          <w:highlight w:val="none"/>
          <w:lang w:val="en-US" w:eastAsia="zh-CN"/>
        </w:rPr>
        <w:t>2.3网衣与养殖单元</w:t>
      </w:r>
    </w:p>
    <w:p>
      <w:pPr>
        <w:widowControl w:val="0"/>
        <w:spacing w:line="360" w:lineRule="auto"/>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鉴于深远海高海况特点，深远海养殖平台对网衣性能有着较高的要求，网衣材料不仅需具备优异抗撕裂及抗风浪能力，需承受深远海50年一遇的极端海况（如17级台风、6级浪高），以抵御深远海复杂环境（如超强台风）的长期冲击，</w:t>
      </w:r>
      <w:r>
        <w:rPr>
          <w:rFonts w:hint="eastAsia" w:cs="宋体"/>
          <w:color w:val="auto"/>
          <w:kern w:val="0"/>
          <w:sz w:val="24"/>
          <w:szCs w:val="24"/>
          <w:highlight w:val="none"/>
          <w:lang w:val="en-US" w:eastAsia="zh-CN" w:bidi="ar-SA"/>
        </w:rPr>
        <w:t>还要</w:t>
      </w:r>
      <w:r>
        <w:rPr>
          <w:rFonts w:hint="eastAsia" w:ascii="宋体" w:hAnsi="宋体" w:eastAsia="宋体" w:cs="宋体"/>
          <w:color w:val="auto"/>
          <w:kern w:val="0"/>
          <w:sz w:val="24"/>
          <w:szCs w:val="24"/>
          <w:highlight w:val="none"/>
          <w:lang w:val="en-US" w:eastAsia="zh-CN" w:bidi="ar-SA"/>
        </w:rPr>
        <w:t>针对高盐、高湿的海洋环境</w:t>
      </w:r>
      <w:r>
        <w:rPr>
          <w:rFonts w:hint="eastAsia" w:cs="宋体"/>
          <w:color w:val="auto"/>
          <w:kern w:val="0"/>
          <w:sz w:val="24"/>
          <w:szCs w:val="24"/>
          <w:highlight w:val="none"/>
          <w:lang w:val="en-US" w:eastAsia="zh-CN" w:bidi="ar-SA"/>
        </w:rPr>
        <w:t>进行特殊处理</w:t>
      </w:r>
      <w:r>
        <w:rPr>
          <w:rFonts w:hint="eastAsia" w:ascii="宋体" w:hAnsi="宋体" w:eastAsia="宋体" w:cs="宋体"/>
          <w:color w:val="auto"/>
          <w:kern w:val="0"/>
          <w:sz w:val="24"/>
          <w:szCs w:val="24"/>
          <w:highlight w:val="none"/>
          <w:lang w:val="en-US" w:eastAsia="zh-CN" w:bidi="ar-SA"/>
        </w:rPr>
        <w:t>，</w:t>
      </w:r>
      <w:r>
        <w:rPr>
          <w:rFonts w:hint="eastAsia" w:cs="宋体"/>
          <w:color w:val="auto"/>
          <w:kern w:val="0"/>
          <w:sz w:val="24"/>
          <w:szCs w:val="24"/>
          <w:highlight w:val="none"/>
          <w:lang w:val="en-US" w:eastAsia="zh-CN" w:bidi="ar-SA"/>
        </w:rPr>
        <w:t>以</w:t>
      </w:r>
      <w:r>
        <w:rPr>
          <w:rFonts w:hint="eastAsia" w:ascii="宋体" w:hAnsi="宋体" w:eastAsia="宋体" w:cs="宋体"/>
          <w:color w:val="auto"/>
          <w:kern w:val="0"/>
          <w:sz w:val="24"/>
          <w:szCs w:val="24"/>
          <w:highlight w:val="none"/>
          <w:lang w:val="en-US" w:eastAsia="zh-CN" w:bidi="ar-SA"/>
        </w:rPr>
        <w:t>降低微生物侵蚀风险，延长使用寿命</w:t>
      </w:r>
      <w:r>
        <w:rPr>
          <w:rFonts w:hint="eastAsia" w:cs="宋体"/>
          <w:color w:val="auto"/>
          <w:kern w:val="0"/>
          <w:sz w:val="24"/>
          <w:szCs w:val="24"/>
          <w:highlight w:val="none"/>
          <w:lang w:val="en-US" w:eastAsia="zh-CN" w:bidi="ar-SA"/>
        </w:rPr>
        <w:t>。</w:t>
      </w:r>
    </w:p>
    <w:p>
      <w:pPr>
        <w:widowControl w:val="0"/>
        <w:spacing w:line="360" w:lineRule="auto"/>
        <w:ind w:firstLine="480" w:firstLineChars="200"/>
        <w:jc w:val="both"/>
        <w:rPr>
          <w:color w:val="auto"/>
          <w:highlight w:val="none"/>
        </w:rPr>
      </w:pPr>
      <w:r>
        <w:rPr>
          <w:rFonts w:hint="eastAsia" w:ascii="宋体" w:hAnsi="宋体" w:eastAsia="宋体" w:cs="宋体"/>
          <w:color w:val="auto"/>
          <w:kern w:val="0"/>
          <w:sz w:val="24"/>
          <w:szCs w:val="24"/>
          <w:highlight w:val="none"/>
          <w:lang w:val="en-US" w:eastAsia="zh-CN" w:bidi="ar-SA"/>
        </w:rPr>
        <w:t>网衣材料通过锚泊系统与桁架结构协同增强整体稳定性。聚乙烯具有良好的耐腐蚀性耐磨性和柔韧性能够在深海复杂的环境中抵御海水的侵蚀、风浪的冲击以及海洋生物的摩擦等，它的密度相对较小便于网箱的加工和安装而且成本相对较低，适合大规模的深海养殖应用。HDPE是桁架式网箱的主流网衣材料，通过精密注塑工艺制成全通透结构，具备优异的抗风浪能力和耐腐蚀性。部分网箱采用改性HDPE材料，结合石化炼化技术提升抗拉强度和抗变形性能，适配深远海高强度养殖需求。UHMWPE（超高分子量聚乙烯纤维）的强度是钢材的15倍，兼具轻质、防水、耐紫外线等特性，适用于对网衣强度要求极高的桁架式网箱。该材料可长期抵御高盐、高湿环境，降低生物附着风险，延长网衣使用寿命</w:t>
      </w:r>
      <w:r>
        <w:rPr>
          <w:rFonts w:hint="eastAsia" w:cs="宋体"/>
          <w:color w:val="auto"/>
          <w:kern w:val="0"/>
          <w:sz w:val="24"/>
          <w:szCs w:val="24"/>
          <w:highlight w:val="none"/>
          <w:lang w:val="en-US" w:eastAsia="zh-CN" w:bidi="ar-SA"/>
        </w:rPr>
        <w:t>。</w:t>
      </w:r>
      <w:r>
        <w:rPr>
          <w:rFonts w:hint="eastAsia"/>
          <w:color w:val="auto"/>
          <w:highlight w:val="none"/>
        </w:rPr>
        <w:t>网目规格为</w:t>
      </w:r>
      <w:r>
        <w:rPr>
          <w:rFonts w:hint="eastAsia"/>
          <w:color w:val="auto"/>
          <w:highlight w:val="none"/>
          <w:lang w:val="en-US" w:eastAsia="zh-CN"/>
        </w:rPr>
        <w:t xml:space="preserve"> </w:t>
      </w:r>
      <w:r>
        <w:rPr>
          <w:rFonts w:hint="eastAsia" w:ascii="Times New Roman"/>
          <w:iCs/>
          <w:color w:val="auto"/>
          <w:highlight w:val="none"/>
        </w:rPr>
        <w:t>6</w:t>
      </w:r>
      <w:r>
        <w:rPr>
          <w:rFonts w:hint="eastAsia" w:ascii="Times New Roman"/>
          <w:iCs/>
          <w:color w:val="auto"/>
          <w:highlight w:val="none"/>
          <w:lang w:val="en-US" w:eastAsia="zh-CN"/>
        </w:rPr>
        <w:t xml:space="preserve"> cm～8</w:t>
      </w:r>
      <w:r>
        <w:rPr>
          <w:rFonts w:ascii="Times New Roman"/>
          <w:iCs/>
          <w:color w:val="auto"/>
          <w:highlight w:val="none"/>
        </w:rPr>
        <w:t xml:space="preserve"> </w:t>
      </w:r>
      <w:r>
        <w:rPr>
          <w:rFonts w:hint="eastAsia" w:ascii="Times New Roman"/>
          <w:iCs/>
          <w:color w:val="auto"/>
          <w:highlight w:val="none"/>
        </w:rPr>
        <w:t>cm</w:t>
      </w:r>
      <w:r>
        <w:rPr>
          <w:color w:val="auto"/>
          <w:highlight w:val="none"/>
        </w:rPr>
        <w:t>。</w:t>
      </w:r>
    </w:p>
    <w:p>
      <w:pPr>
        <w:widowControl w:val="0"/>
        <w:spacing w:line="360" w:lineRule="auto"/>
        <w:ind w:firstLine="480" w:firstLineChars="200"/>
        <w:jc w:val="both"/>
        <w:rPr>
          <w:rFonts w:hint="eastAsia"/>
          <w:color w:val="auto"/>
          <w:highlight w:val="none"/>
          <w:lang w:val="en-US" w:eastAsia="zh-CN"/>
        </w:rPr>
      </w:pPr>
      <w:r>
        <w:rPr>
          <w:rFonts w:hint="eastAsia" w:ascii="宋体" w:hAnsi="宋体" w:eastAsia="宋体" w:cs="宋体"/>
          <w:color w:val="auto"/>
          <w:kern w:val="0"/>
          <w:sz w:val="24"/>
          <w:szCs w:val="24"/>
          <w:highlight w:val="none"/>
          <w:lang w:val="en-US" w:eastAsia="zh-CN" w:bidi="ar-SA"/>
        </w:rPr>
        <w:t>平台划分独立养殖区域，集成网衣清洗、死鱼收集系统，支持多鱼种分阶段养殖</w:t>
      </w:r>
      <w:r>
        <w:rPr>
          <w:rFonts w:hint="eastAsia" w:cs="宋体"/>
          <w:color w:val="auto"/>
          <w:kern w:val="0"/>
          <w:sz w:val="24"/>
          <w:szCs w:val="24"/>
          <w:highlight w:val="none"/>
          <w:lang w:val="en-US" w:eastAsia="zh-CN" w:bidi="ar-SA"/>
        </w:rPr>
        <w:t>。</w:t>
      </w:r>
    </w:p>
    <w:p>
      <w:pPr>
        <w:widowControl w:val="0"/>
        <w:spacing w:line="360" w:lineRule="auto"/>
        <w:ind w:firstLine="482" w:firstLineChars="200"/>
        <w:jc w:val="both"/>
        <w:rPr>
          <w:rFonts w:hint="eastAsia"/>
          <w:b/>
          <w:bCs/>
          <w:color w:val="auto"/>
          <w:highlight w:val="none"/>
          <w:lang w:val="en-US" w:eastAsia="zh-CN"/>
        </w:rPr>
      </w:pPr>
      <w:r>
        <w:rPr>
          <w:rFonts w:hint="eastAsia"/>
          <w:b/>
          <w:bCs/>
          <w:color w:val="auto"/>
          <w:highlight w:val="none"/>
          <w:lang w:val="en-US" w:eastAsia="zh-CN"/>
        </w:rPr>
        <w:t>2.4能源与动力系统</w:t>
      </w:r>
    </w:p>
    <w:p>
      <w:pPr>
        <w:bidi w:val="0"/>
        <w:spacing w:line="360" w:lineRule="auto"/>
        <w:ind w:firstLine="480" w:firstLineChars="200"/>
        <w:rPr>
          <w:rFonts w:hint="eastAsia"/>
          <w:color w:val="auto"/>
          <w:highlight w:val="none"/>
          <w:lang w:val="en-US" w:eastAsia="zh-CN"/>
        </w:rPr>
      </w:pPr>
      <w:r>
        <w:rPr>
          <w:rFonts w:hint="eastAsia"/>
          <w:color w:val="auto"/>
          <w:highlight w:val="none"/>
          <w:lang w:val="en-US" w:eastAsia="zh-CN"/>
        </w:rPr>
        <w:t>采用‌</w:t>
      </w:r>
      <w:r>
        <w:rPr>
          <w:rFonts w:hint="default"/>
          <w:color w:val="auto"/>
          <w:highlight w:val="none"/>
          <w:lang w:val="en-US" w:eastAsia="zh-CN"/>
        </w:rPr>
        <w:t>绿色能源自供给系统‌，整合风力发电、太阳能光伏</w:t>
      </w:r>
      <w:r>
        <w:rPr>
          <w:rFonts w:hint="eastAsia"/>
          <w:color w:val="auto"/>
          <w:highlight w:val="none"/>
          <w:lang w:val="en-US" w:eastAsia="zh-CN"/>
        </w:rPr>
        <w:t>、波浪能</w:t>
      </w:r>
      <w:r>
        <w:rPr>
          <w:rFonts w:hint="default"/>
          <w:color w:val="auto"/>
          <w:highlight w:val="none"/>
          <w:lang w:val="en-US" w:eastAsia="zh-CN"/>
        </w:rPr>
        <w:t>等技术，实现能源低碳化</w:t>
      </w:r>
      <w:r>
        <w:rPr>
          <w:rFonts w:hint="eastAsia"/>
          <w:color w:val="auto"/>
          <w:highlight w:val="none"/>
          <w:lang w:val="en-US" w:eastAsia="zh-CN"/>
        </w:rPr>
        <w:t>。</w:t>
      </w:r>
      <w:r>
        <w:rPr>
          <w:rFonts w:hint="default"/>
          <w:color w:val="auto"/>
          <w:highlight w:val="none"/>
          <w:lang w:val="en-US" w:eastAsia="zh-CN"/>
        </w:rPr>
        <w:t>结合储能技术平衡昼夜及天气变化的能源波动，确保养殖环境设备的持续运行</w:t>
      </w:r>
      <w:r>
        <w:rPr>
          <w:rFonts w:hint="eastAsia"/>
          <w:color w:val="auto"/>
          <w:highlight w:val="none"/>
          <w:lang w:val="en-US" w:eastAsia="zh-CN"/>
        </w:rPr>
        <w:t>。</w:t>
      </w:r>
    </w:p>
    <w:p>
      <w:pPr>
        <w:bidi w:val="0"/>
        <w:spacing w:line="360" w:lineRule="auto"/>
        <w:ind w:firstLine="480" w:firstLineChars="200"/>
        <w:rPr>
          <w:rFonts w:hint="eastAsia"/>
          <w:color w:val="auto"/>
          <w:highlight w:val="none"/>
          <w:lang w:val="en-US" w:eastAsia="zh-CN"/>
        </w:rPr>
      </w:pPr>
      <w:r>
        <w:rPr>
          <w:rFonts w:hint="default"/>
          <w:color w:val="auto"/>
          <w:highlight w:val="none"/>
          <w:lang w:val="en-US" w:eastAsia="zh-CN"/>
        </w:rPr>
        <w:t>配备‌全电力推进系统</w:t>
      </w:r>
      <w:r>
        <w:rPr>
          <w:rFonts w:hint="eastAsia"/>
          <w:color w:val="auto"/>
          <w:highlight w:val="none"/>
          <w:lang w:val="en-US" w:eastAsia="zh-CN"/>
        </w:rPr>
        <w:t>和</w:t>
      </w:r>
      <w:r>
        <w:rPr>
          <w:rFonts w:hint="default"/>
          <w:color w:val="auto"/>
          <w:highlight w:val="none"/>
          <w:lang w:val="en-US" w:eastAsia="zh-CN"/>
        </w:rPr>
        <w:t>动力定位技术‌（DP系统）</w:t>
      </w:r>
      <w:r>
        <w:rPr>
          <w:rFonts w:hint="eastAsia"/>
          <w:color w:val="auto"/>
          <w:highlight w:val="none"/>
          <w:lang w:val="en-US" w:eastAsia="zh-CN"/>
        </w:rPr>
        <w:t>，既</w:t>
      </w:r>
      <w:r>
        <w:rPr>
          <w:rFonts w:hint="default"/>
          <w:color w:val="auto"/>
          <w:highlight w:val="none"/>
          <w:lang w:val="en-US" w:eastAsia="zh-CN"/>
        </w:rPr>
        <w:t>支持平台在深远海区域灵活航行</w:t>
      </w:r>
      <w:r>
        <w:rPr>
          <w:rFonts w:hint="eastAsia"/>
          <w:color w:val="auto"/>
          <w:highlight w:val="none"/>
          <w:lang w:val="en-US" w:eastAsia="zh-CN"/>
        </w:rPr>
        <w:t>，又可保持平台在复杂海况下的位置稳定。</w:t>
      </w:r>
      <w:r>
        <w:rPr>
          <w:rFonts w:hint="default"/>
          <w:color w:val="auto"/>
          <w:highlight w:val="none"/>
          <w:lang w:val="en-US" w:eastAsia="zh-CN"/>
        </w:rPr>
        <w:t>‌</w:t>
      </w:r>
    </w:p>
    <w:p>
      <w:pPr>
        <w:widowControl w:val="0"/>
        <w:spacing w:line="360" w:lineRule="auto"/>
        <w:ind w:firstLine="482" w:firstLineChars="200"/>
        <w:jc w:val="both"/>
        <w:rPr>
          <w:rFonts w:hint="default"/>
          <w:b/>
          <w:bCs/>
          <w:color w:val="auto"/>
          <w:highlight w:val="none"/>
          <w:lang w:val="en-US" w:eastAsia="zh-CN"/>
        </w:rPr>
      </w:pPr>
      <w:r>
        <w:rPr>
          <w:rFonts w:hint="eastAsia"/>
          <w:b/>
          <w:bCs/>
          <w:color w:val="auto"/>
          <w:highlight w:val="none"/>
          <w:lang w:val="en-US" w:eastAsia="zh-CN"/>
        </w:rPr>
        <w:t>2.5智能化配套系统</w:t>
      </w:r>
    </w:p>
    <w:p>
      <w:pPr>
        <w:widowControl w:val="0"/>
        <w:spacing w:line="360" w:lineRule="auto"/>
        <w:ind w:firstLine="480" w:firstLineChars="200"/>
        <w:jc w:val="both"/>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智能化配套系统包括环境监测与预警与自动化操作系统。</w:t>
      </w:r>
    </w:p>
    <w:p>
      <w:pPr>
        <w:widowControl w:val="0"/>
        <w:spacing w:line="360" w:lineRule="auto"/>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集成水文、水质、气象传感器，实时监测温度、溶解氧、pH值、盐度、浪高、湿度、风速、光照、流速、流向、网衣张力等主要水质和养殖参数；集成水面和水下相机、声呐传感器等设备，实现鱼群生长环境可视化监控，联动平台管理系统实现风险预警。配备自动投喂、生物量监测、水下补光等设备，逐步实现无人化养殖。</w:t>
      </w:r>
    </w:p>
    <w:p>
      <w:pPr>
        <w:pStyle w:val="36"/>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“恒燚1号”</w:t>
      </w:r>
      <w:r>
        <w:rPr>
          <w:rFonts w:hint="eastAsia" w:ascii="宋体" w:hAnsi="宋体" w:eastAsia="宋体" w:cs="宋体"/>
          <w:color w:val="auto"/>
          <w:sz w:val="24"/>
          <w:szCs w:val="24"/>
          <w:highlight w:val="none"/>
          <w:lang w:val="en-US" w:eastAsia="zh-CN"/>
        </w:rPr>
        <w:t>平台安装有智慧渔业显控系统，</w:t>
      </w:r>
      <w:r>
        <w:rPr>
          <w:rFonts w:hint="eastAsia" w:ascii="宋体" w:hAnsi="宋体" w:eastAsia="宋体" w:cs="宋体"/>
          <w:color w:val="auto"/>
          <w:sz w:val="24"/>
          <w:szCs w:val="24"/>
          <w:highlight w:val="none"/>
        </w:rPr>
        <w:t>工作人员可以通过智慧渔业显控系统实时观察的各项数据，不仅有养殖温度、溶解氧、PH值、浪高等主要水质参数，也能实时监测湿度、风速、光照、流速、流向等养殖参数。工作人员</w:t>
      </w:r>
      <w:r>
        <w:rPr>
          <w:rFonts w:hint="eastAsia" w:hAnsi="宋体" w:cs="宋体"/>
          <w:color w:val="auto"/>
          <w:sz w:val="24"/>
          <w:szCs w:val="24"/>
          <w:highlight w:val="none"/>
          <w:lang w:val="en-US" w:eastAsia="zh-CN"/>
        </w:rPr>
        <w:t>能够</w:t>
      </w:r>
      <w:r>
        <w:rPr>
          <w:rFonts w:hint="eastAsia" w:ascii="宋体" w:hAnsi="宋体" w:eastAsia="宋体" w:cs="宋体"/>
          <w:color w:val="auto"/>
          <w:sz w:val="24"/>
          <w:szCs w:val="24"/>
          <w:highlight w:val="none"/>
        </w:rPr>
        <w:t>通过水面</w:t>
      </w:r>
      <w:r>
        <w:rPr>
          <w:rFonts w:hint="eastAsia" w:hAnsi="宋体" w:cs="宋体"/>
          <w:color w:val="auto"/>
          <w:sz w:val="24"/>
          <w:szCs w:val="24"/>
          <w:highlight w:val="none"/>
          <w:lang w:val="en-US" w:eastAsia="zh-CN"/>
        </w:rPr>
        <w:t>和</w:t>
      </w:r>
      <w:r>
        <w:rPr>
          <w:rFonts w:hint="eastAsia" w:ascii="宋体" w:hAnsi="宋体" w:eastAsia="宋体" w:cs="宋体"/>
          <w:color w:val="auto"/>
          <w:sz w:val="24"/>
          <w:szCs w:val="24"/>
          <w:highlight w:val="none"/>
        </w:rPr>
        <w:t>水下相机、被动水听器、主动双频图像声呐等智能传感器，实现鱼群生长环境可视化监控</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val="en-US" w:eastAsia="zh-CN"/>
        </w:rPr>
        <w:t>另外，</w:t>
      </w:r>
      <w:r>
        <w:rPr>
          <w:rFonts w:hint="eastAsia" w:ascii="宋体" w:hAnsi="宋体" w:eastAsia="宋体" w:cs="宋体"/>
          <w:color w:val="auto"/>
          <w:sz w:val="24"/>
          <w:szCs w:val="24"/>
          <w:highlight w:val="none"/>
        </w:rPr>
        <w:t>采用网络远程监控的方式实时掌握平台装置的运行参数与工作状态。实现渔业生长过程中全程智能化监控和风险预警，建立军曹鱼养殖数据库。配备船载式投饵系统，通过触摸屏界面实现设备启停、投料速度调控、运行状态监控及网箱饵料投喂数据记录。该系统采用气力输送饵料，作业方式灵活、投喂高效，实现饵料精准投喂，提高饵料利用效率。</w:t>
      </w:r>
    </w:p>
    <w:p>
      <w:pPr>
        <w:widowControl w:val="0"/>
        <w:spacing w:line="360" w:lineRule="auto"/>
        <w:ind w:firstLine="480" w:firstLineChars="200"/>
        <w:jc w:val="both"/>
        <w:rPr>
          <w:rFonts w:hint="default"/>
          <w:color w:val="auto"/>
          <w:highlight w:val="none"/>
          <w:lang w:val="en-US" w:eastAsia="zh-CN"/>
        </w:rPr>
      </w:pPr>
    </w:p>
    <w:p>
      <w:pPr>
        <w:widowControl w:val="0"/>
        <w:spacing w:line="360" w:lineRule="auto"/>
        <w:ind w:firstLine="482" w:firstLineChars="200"/>
        <w:jc w:val="both"/>
        <w:rPr>
          <w:rFonts w:hint="eastAsia"/>
          <w:b/>
          <w:bCs/>
          <w:color w:val="auto"/>
          <w:highlight w:val="none"/>
        </w:rPr>
      </w:pPr>
      <w:r>
        <w:rPr>
          <w:rFonts w:hint="eastAsia"/>
          <w:b/>
          <w:bCs/>
          <w:color w:val="auto"/>
          <w:highlight w:val="none"/>
          <w:lang w:val="en-US" w:eastAsia="zh-CN"/>
        </w:rPr>
        <w:t>2.6</w:t>
      </w:r>
      <w:r>
        <w:rPr>
          <w:rFonts w:hint="eastAsia"/>
          <w:b/>
          <w:bCs/>
          <w:color w:val="auto"/>
          <w:highlight w:val="none"/>
        </w:rPr>
        <w:t>生活设施系统</w:t>
      </w:r>
    </w:p>
    <w:p>
      <w:pPr>
        <w:pStyle w:val="36"/>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设置适宜的生活和居住空间，配备仓储空间、冷库、厨房、网络等设施。</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3 鱼种放养</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 xml:space="preserve">3.1鱼种规格与质量  </w:t>
      </w:r>
    </w:p>
    <w:p>
      <w:pPr>
        <w:bidi w:val="0"/>
        <w:spacing w:line="360" w:lineRule="auto"/>
        <w:ind w:firstLine="480" w:firstLineChars="200"/>
        <w:rPr>
          <w:rFonts w:hint="eastAsia"/>
          <w:color w:val="auto"/>
          <w:szCs w:val="22"/>
          <w:highlight w:val="none"/>
        </w:rPr>
      </w:pPr>
      <w:r>
        <w:rPr>
          <w:rFonts w:hint="eastAsia" w:hAnsi="宋体" w:cs="宋体"/>
          <w:color w:val="auto"/>
          <w:kern w:val="0"/>
          <w:szCs w:val="24"/>
          <w:highlight w:val="none"/>
          <w:lang w:val="en-US" w:eastAsia="zh-CN" w:bidi="ar-SA"/>
        </w:rPr>
        <w:t>养殖平台位于深远海，海况较为复杂</w:t>
      </w:r>
      <w:r>
        <w:rPr>
          <w:rFonts w:hint="eastAsia" w:cs="宋体"/>
          <w:color w:val="auto"/>
          <w:kern w:val="0"/>
          <w:szCs w:val="24"/>
          <w:highlight w:val="none"/>
          <w:lang w:val="en-US" w:eastAsia="zh-CN" w:bidi="ar-SA"/>
        </w:rPr>
        <w:t>，另外平台</w:t>
      </w:r>
      <w:r>
        <w:rPr>
          <w:rFonts w:hint="eastAsia"/>
          <w:color w:val="auto"/>
          <w:highlight w:val="none"/>
        </w:rPr>
        <w:t>养殖容量大、分箱困难</w:t>
      </w:r>
      <w:r>
        <w:rPr>
          <w:rFonts w:hint="eastAsia"/>
          <w:color w:val="auto"/>
          <w:highlight w:val="none"/>
          <w:lang w:eastAsia="zh-CN"/>
        </w:rPr>
        <w:t>、</w:t>
      </w:r>
      <w:r>
        <w:rPr>
          <w:rFonts w:hint="eastAsia"/>
          <w:color w:val="auto"/>
          <w:highlight w:val="none"/>
          <w:lang w:val="en-US" w:eastAsia="zh-CN"/>
        </w:rPr>
        <w:t>无法换网</w:t>
      </w:r>
      <w:r>
        <w:rPr>
          <w:rFonts w:hint="eastAsia"/>
          <w:color w:val="auto"/>
          <w:highlight w:val="none"/>
        </w:rPr>
        <w:t>等特点，在军曹鱼</w:t>
      </w:r>
      <w:r>
        <w:rPr>
          <w:rFonts w:hint="eastAsia"/>
          <w:color w:val="auto"/>
          <w:highlight w:val="none"/>
          <w:lang w:val="en-US" w:eastAsia="zh-CN"/>
        </w:rPr>
        <w:t>平台</w:t>
      </w:r>
      <w:r>
        <w:rPr>
          <w:rFonts w:hint="eastAsia"/>
          <w:color w:val="auto"/>
          <w:highlight w:val="none"/>
        </w:rPr>
        <w:t>养殖过程中，选择大规格苗种进行放养，可避免养殖操作的困难，减少操作损伤，缩短养殖周期，提高养殖效率。</w:t>
      </w:r>
      <w:r>
        <w:rPr>
          <w:rFonts w:hint="eastAsia" w:hAnsi="宋体" w:cs="宋体"/>
          <w:color w:val="auto"/>
          <w:kern w:val="0"/>
          <w:szCs w:val="24"/>
          <w:highlight w:val="none"/>
          <w:lang w:val="en-US" w:eastAsia="zh-CN" w:bidi="ar-SA"/>
        </w:rPr>
        <w:t>海威2号养殖平台投放的军曹鱼鱼种规格为</w:t>
      </w:r>
      <w:r>
        <w:rPr>
          <w:rFonts w:hint="eastAsia" w:ascii="宋体" w:hAnsi="宋体" w:eastAsia="宋体" w:cs="宋体"/>
          <w:color w:val="auto"/>
          <w:kern w:val="0"/>
          <w:szCs w:val="24"/>
          <w:highlight w:val="none"/>
          <w:lang w:val="en-US" w:eastAsia="zh-CN" w:bidi="ar-SA"/>
        </w:rPr>
        <w:t>1000g～2000g，</w:t>
      </w:r>
      <w:r>
        <w:rPr>
          <w:rFonts w:hint="eastAsia" w:hAnsi="宋体" w:cs="宋体"/>
          <w:color w:val="auto"/>
          <w:kern w:val="0"/>
          <w:szCs w:val="24"/>
          <w:highlight w:val="none"/>
          <w:lang w:val="en-US" w:eastAsia="zh-CN" w:bidi="ar-SA"/>
        </w:rPr>
        <w:t>因此这里也采用同样的规格。郭根喜</w:t>
      </w:r>
      <w:r>
        <w:rPr>
          <w:rFonts w:hint="eastAsia" w:cs="宋体"/>
          <w:color w:val="auto"/>
          <w:kern w:val="0"/>
          <w:szCs w:val="24"/>
          <w:highlight w:val="none"/>
          <w:lang w:val="en-US" w:eastAsia="zh-CN" w:bidi="ar-SA"/>
        </w:rPr>
        <w:t>等</w:t>
      </w:r>
      <w:r>
        <w:rPr>
          <w:rFonts w:hint="eastAsia" w:hAnsi="宋体" w:cs="宋体"/>
          <w:color w:val="auto"/>
          <w:kern w:val="0"/>
          <w:szCs w:val="24"/>
          <w:highlight w:val="none"/>
          <w:lang w:val="en-US" w:eastAsia="zh-CN" w:bidi="ar-SA"/>
        </w:rPr>
        <w:t>在《</w:t>
      </w:r>
      <w:r>
        <w:rPr>
          <w:rFonts w:hint="eastAsia" w:cs="宋体"/>
          <w:color w:val="auto"/>
          <w:kern w:val="0"/>
          <w:szCs w:val="24"/>
          <w:highlight w:val="none"/>
          <w:lang w:val="en-US" w:eastAsia="zh-CN" w:bidi="ar-SA"/>
        </w:rPr>
        <w:t>深水网箱</w:t>
      </w:r>
      <w:r>
        <w:rPr>
          <w:rFonts w:hint="eastAsia" w:hAnsi="宋体" w:cs="宋体"/>
          <w:color w:val="auto"/>
          <w:kern w:val="0"/>
          <w:szCs w:val="24"/>
          <w:highlight w:val="none"/>
          <w:lang w:val="en-US" w:eastAsia="zh-CN" w:bidi="ar-SA"/>
        </w:rPr>
        <w:t>养殖军曹鱼技术要点》中提到：</w:t>
      </w:r>
      <w:r>
        <w:rPr>
          <w:rFonts w:hint="eastAsia"/>
          <w:color w:val="auto"/>
          <w:highlight w:val="none"/>
        </w:rPr>
        <w:t>购苗时，最好选择有自己的亲鱼培育体系且规模较大、信誉较好的供应商，以保证苗种的纯正。当然在种纯的基础上还需考虑苗种的健康，健康苗种的标准：体表干净、无粘液，横纹清晰、色泽明亮，体圆、匀称，摄食快、活力强。</w:t>
      </w:r>
    </w:p>
    <w:p>
      <w:pPr>
        <w:widowControl w:val="0"/>
        <w:spacing w:line="360" w:lineRule="auto"/>
        <w:ind w:firstLine="482" w:firstLineChars="200"/>
        <w:jc w:val="both"/>
        <w:rPr>
          <w:rFonts w:hint="eastAsia"/>
          <w:b/>
          <w:bCs/>
          <w:snapToGrid w:val="0"/>
          <w:color w:val="auto"/>
          <w:highlight w:val="none"/>
          <w:lang w:val="en-US" w:eastAsia="zh-CN"/>
        </w:rPr>
      </w:pPr>
      <w:r>
        <w:rPr>
          <w:rFonts w:hint="eastAsia"/>
          <w:b/>
          <w:bCs/>
          <w:snapToGrid w:val="0"/>
          <w:color w:val="auto"/>
          <w:highlight w:val="none"/>
          <w:lang w:val="en-US" w:eastAsia="zh-CN"/>
        </w:rPr>
        <w:t>3.2鱼种运输</w:t>
      </w:r>
    </w:p>
    <w:p>
      <w:pPr>
        <w:pStyle w:val="36"/>
        <w:spacing w:line="360" w:lineRule="auto"/>
        <w:ind w:firstLine="420"/>
        <w:rPr>
          <w:rFonts w:hint="eastAsia" w:ascii="宋体" w:hAnsi="Times New Roman" w:eastAsia="宋体" w:cs="Times New Roman"/>
          <w:color w:val="auto"/>
          <w:kern w:val="0"/>
          <w:sz w:val="24"/>
          <w:szCs w:val="22"/>
          <w:highlight w:val="none"/>
          <w:lang w:val="en-US" w:eastAsia="zh-CN" w:bidi="ar-SA"/>
        </w:rPr>
      </w:pPr>
      <w:r>
        <w:rPr>
          <w:rFonts w:hint="eastAsia" w:cs="Times New Roman"/>
          <w:color w:val="auto"/>
          <w:kern w:val="0"/>
          <w:sz w:val="24"/>
          <w:szCs w:val="22"/>
          <w:highlight w:val="none"/>
          <w:lang w:val="en-US" w:eastAsia="zh-CN" w:bidi="ar-SA"/>
        </w:rPr>
        <w:t>鱼种运输之前，需要</w:t>
      </w:r>
      <w:r>
        <w:rPr>
          <w:rFonts w:hint="eastAsia" w:ascii="宋体" w:hAnsi="Times New Roman" w:eastAsia="宋体" w:cs="Times New Roman"/>
          <w:color w:val="auto"/>
          <w:kern w:val="0"/>
          <w:sz w:val="24"/>
          <w:szCs w:val="22"/>
          <w:highlight w:val="none"/>
          <w:lang w:val="en-US" w:eastAsia="zh-CN" w:bidi="ar-SA"/>
        </w:rPr>
        <w:t>根据生产计划、天气情况等制订运输计划，</w:t>
      </w:r>
      <w:r>
        <w:rPr>
          <w:rFonts w:hint="eastAsia" w:cs="Times New Roman"/>
          <w:color w:val="auto"/>
          <w:kern w:val="0"/>
          <w:sz w:val="24"/>
          <w:szCs w:val="22"/>
          <w:highlight w:val="none"/>
          <w:lang w:val="en-US" w:eastAsia="zh-CN" w:bidi="ar-SA"/>
        </w:rPr>
        <w:t>确定</w:t>
      </w:r>
      <w:r>
        <w:rPr>
          <w:rFonts w:hint="eastAsia" w:ascii="宋体" w:hAnsi="Times New Roman" w:eastAsia="宋体" w:cs="Times New Roman"/>
          <w:color w:val="auto"/>
          <w:kern w:val="0"/>
          <w:sz w:val="24"/>
          <w:szCs w:val="22"/>
          <w:highlight w:val="none"/>
          <w:lang w:val="en-US" w:eastAsia="zh-CN" w:bidi="ar-SA"/>
        </w:rPr>
        <w:t>鱼种来源</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鱼种规格</w:t>
      </w:r>
      <w:r>
        <w:rPr>
          <w:rFonts w:hint="eastAsia" w:cs="Times New Roman"/>
          <w:color w:val="auto"/>
          <w:kern w:val="0"/>
          <w:sz w:val="24"/>
          <w:szCs w:val="22"/>
          <w:highlight w:val="none"/>
          <w:lang w:val="en-US" w:eastAsia="zh-CN" w:bidi="ar-SA"/>
        </w:rPr>
        <w:t>和</w:t>
      </w:r>
      <w:r>
        <w:rPr>
          <w:rFonts w:hint="eastAsia" w:ascii="宋体" w:hAnsi="Times New Roman" w:eastAsia="宋体" w:cs="Times New Roman"/>
          <w:color w:val="auto"/>
          <w:kern w:val="0"/>
          <w:sz w:val="24"/>
          <w:szCs w:val="22"/>
          <w:highlight w:val="none"/>
          <w:lang w:val="en-US" w:eastAsia="zh-CN" w:bidi="ar-SA"/>
        </w:rPr>
        <w:t>数量</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运输时间</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运输方式</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运输密度</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停料要求、鱼种消毒方式等</w:t>
      </w:r>
      <w:r>
        <w:rPr>
          <w:rFonts w:hint="eastAsia" w:cs="Times New Roman"/>
          <w:color w:val="auto"/>
          <w:kern w:val="0"/>
          <w:sz w:val="24"/>
          <w:szCs w:val="22"/>
          <w:highlight w:val="none"/>
          <w:lang w:val="en-US" w:eastAsia="zh-CN" w:bidi="ar-SA"/>
        </w:rPr>
        <w:t>，还要对即将运输的鱼种</w:t>
      </w:r>
      <w:r>
        <w:rPr>
          <w:rFonts w:hint="eastAsia" w:ascii="宋体" w:hAnsi="Times New Roman" w:eastAsia="宋体" w:cs="Times New Roman"/>
          <w:color w:val="auto"/>
          <w:kern w:val="0"/>
          <w:sz w:val="24"/>
          <w:szCs w:val="22"/>
          <w:highlight w:val="none"/>
          <w:lang w:val="en-US" w:eastAsia="zh-CN" w:bidi="ar-SA"/>
        </w:rPr>
        <w:t>进行特定病原检疫。鱼种运输前应停食1 d。</w:t>
      </w:r>
      <w:r>
        <w:rPr>
          <w:rFonts w:hint="eastAsia" w:cs="Times New Roman"/>
          <w:color w:val="auto"/>
          <w:kern w:val="0"/>
          <w:sz w:val="24"/>
          <w:szCs w:val="22"/>
          <w:highlight w:val="none"/>
          <w:lang w:val="en-US" w:eastAsia="zh-CN" w:bidi="ar-SA"/>
        </w:rPr>
        <w:t>为保证运输成功，大规格鱼种采用活水船进行运输，</w:t>
      </w:r>
      <w:r>
        <w:rPr>
          <w:rFonts w:hint="eastAsia" w:ascii="宋体" w:hAnsi="Times New Roman" w:eastAsia="宋体" w:cs="Times New Roman"/>
          <w:color w:val="auto"/>
          <w:kern w:val="0"/>
          <w:sz w:val="24"/>
          <w:szCs w:val="22"/>
          <w:highlight w:val="none"/>
          <w:lang w:val="en-US" w:eastAsia="zh-CN" w:bidi="ar-SA"/>
        </w:rPr>
        <w:t>运输密度视海区水温、鱼种规格等因素而定。海区水温要求在</w:t>
      </w:r>
      <w:r>
        <w:rPr>
          <w:rFonts w:hint="eastAsia" w:cs="Times New Roman"/>
          <w:color w:val="auto"/>
          <w:kern w:val="0"/>
          <w:sz w:val="24"/>
          <w:szCs w:val="22"/>
          <w:highlight w:val="none"/>
          <w:lang w:val="en-US" w:eastAsia="zh-CN" w:bidi="ar-SA"/>
        </w:rPr>
        <w:t>23</w:t>
      </w:r>
      <w:r>
        <w:rPr>
          <w:rFonts w:hint="eastAsia" w:ascii="宋体" w:hAnsi="Times New Roman" w:eastAsia="宋体" w:cs="Times New Roman"/>
          <w:color w:val="auto"/>
          <w:kern w:val="0"/>
          <w:sz w:val="24"/>
          <w:szCs w:val="22"/>
          <w:highlight w:val="none"/>
          <w:lang w:val="en-US" w:eastAsia="zh-CN" w:bidi="ar-SA"/>
        </w:rPr>
        <w:t xml:space="preserve"> ℃～</w:t>
      </w:r>
      <w:r>
        <w:rPr>
          <w:rFonts w:hint="eastAsia" w:cs="Times New Roman"/>
          <w:color w:val="auto"/>
          <w:kern w:val="0"/>
          <w:sz w:val="24"/>
          <w:szCs w:val="22"/>
          <w:highlight w:val="none"/>
          <w:lang w:val="en-US" w:eastAsia="zh-CN" w:bidi="ar-SA"/>
        </w:rPr>
        <w:t>30</w:t>
      </w:r>
      <w:r>
        <w:rPr>
          <w:rFonts w:hint="eastAsia" w:ascii="宋体" w:hAnsi="Times New Roman" w:eastAsia="宋体" w:cs="Times New Roman"/>
          <w:color w:val="auto"/>
          <w:kern w:val="0"/>
          <w:sz w:val="24"/>
          <w:szCs w:val="22"/>
          <w:highlight w:val="none"/>
          <w:lang w:val="en-US" w:eastAsia="zh-CN" w:bidi="ar-SA"/>
        </w:rPr>
        <w:t xml:space="preserve"> ℃，</w:t>
      </w:r>
      <w:r>
        <w:rPr>
          <w:rFonts w:hint="eastAsia" w:cs="Times New Roman"/>
          <w:color w:val="auto"/>
          <w:kern w:val="0"/>
          <w:sz w:val="24"/>
          <w:szCs w:val="22"/>
          <w:highlight w:val="none"/>
          <w:lang w:val="en-US" w:eastAsia="zh-CN" w:bidi="ar-SA"/>
        </w:rPr>
        <w:t>根据一线技术人员运输经验，1000g～2000g规格的鱼种，</w:t>
      </w:r>
      <w:r>
        <w:rPr>
          <w:rFonts w:hint="eastAsia" w:ascii="宋体" w:hAnsi="Times New Roman" w:eastAsia="宋体" w:cs="Times New Roman"/>
          <w:color w:val="auto"/>
          <w:kern w:val="0"/>
          <w:sz w:val="24"/>
          <w:szCs w:val="22"/>
          <w:highlight w:val="none"/>
          <w:lang w:val="en-US" w:eastAsia="zh-CN" w:bidi="ar-SA"/>
        </w:rPr>
        <w:t>活水船运输密度为</w:t>
      </w:r>
      <w:r>
        <w:rPr>
          <w:rFonts w:hint="eastAsia" w:cs="Times New Roman"/>
          <w:color w:val="auto"/>
          <w:kern w:val="0"/>
          <w:sz w:val="24"/>
          <w:szCs w:val="22"/>
          <w:highlight w:val="none"/>
          <w:lang w:val="en-US" w:eastAsia="zh-CN" w:bidi="ar-SA"/>
        </w:rPr>
        <w:t>（</w:t>
      </w:r>
      <w:r>
        <w:rPr>
          <w:rFonts w:hint="eastAsia" w:ascii="宋体" w:hAnsi="Times New Roman" w:eastAsia="宋体" w:cs="Times New Roman"/>
          <w:color w:val="auto"/>
          <w:kern w:val="0"/>
          <w:sz w:val="24"/>
          <w:szCs w:val="22"/>
          <w:highlight w:val="none"/>
          <w:lang w:val="en-US" w:eastAsia="zh-CN" w:bidi="ar-SA"/>
        </w:rPr>
        <w:t>35</w:t>
      </w:r>
      <w:r>
        <w:rPr>
          <w:rFonts w:hint="eastAsia" w:cs="Times New Roman"/>
          <w:color w:val="auto"/>
          <w:kern w:val="0"/>
          <w:sz w:val="24"/>
          <w:szCs w:val="22"/>
          <w:highlight w:val="none"/>
          <w:lang w:val="en-US" w:eastAsia="zh-CN" w:bidi="ar-SA"/>
        </w:rPr>
        <w:t>～50）尾</w:t>
      </w:r>
      <w:r>
        <w:rPr>
          <w:rFonts w:hint="eastAsia" w:ascii="宋体" w:hAnsi="Times New Roman" w:eastAsia="宋体" w:cs="Times New Roman"/>
          <w:color w:val="auto"/>
          <w:kern w:val="0"/>
          <w:sz w:val="24"/>
          <w:szCs w:val="22"/>
          <w:highlight w:val="none"/>
          <w:lang w:val="en-US" w:eastAsia="zh-CN" w:bidi="ar-SA"/>
        </w:rPr>
        <w:t>/m³。</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3.3放养操作</w:t>
      </w:r>
    </w:p>
    <w:p>
      <w:pPr>
        <w:spacing w:beforeLines="0" w:afterLines="0" w:line="360" w:lineRule="auto"/>
        <w:ind w:firstLine="480" w:firstLineChars="200"/>
        <w:jc w:val="left"/>
        <w:rPr>
          <w:rFonts w:hint="default" w:eastAsia="宋体"/>
          <w:color w:val="auto"/>
          <w:sz w:val="24"/>
          <w:szCs w:val="22"/>
          <w:highlight w:val="none"/>
          <w:lang w:val="en-US" w:eastAsia="zh-CN"/>
        </w:rPr>
      </w:pPr>
      <w:r>
        <w:rPr>
          <w:rFonts w:hint="eastAsia" w:ascii="宋体" w:hAnsi="Times New Roman" w:eastAsia="宋体" w:cs="Times New Roman"/>
          <w:color w:val="auto"/>
          <w:kern w:val="0"/>
          <w:sz w:val="24"/>
          <w:szCs w:val="22"/>
          <w:highlight w:val="none"/>
          <w:lang w:val="en-US" w:eastAsia="zh-CN" w:bidi="ar-SA"/>
        </w:rPr>
        <w:t>选择潮流平缓时投放鱼种，通过吸鱼泵进行鱼种放养。低温季节选择在晴天的午后，高温季节宜选择阴凉的早晚进行。鱼种放养前，</w:t>
      </w:r>
      <w:r>
        <w:rPr>
          <w:rFonts w:hint="eastAsia" w:hAnsi="Times New Roman" w:cs="Times New Roman"/>
          <w:color w:val="auto"/>
          <w:kern w:val="0"/>
          <w:sz w:val="24"/>
          <w:szCs w:val="22"/>
          <w:highlight w:val="none"/>
          <w:lang w:val="en-US" w:eastAsia="zh-CN" w:bidi="ar-SA"/>
        </w:rPr>
        <w:t>需要使用消毒剂对鱼体消毒，</w:t>
      </w:r>
      <w:r>
        <w:rPr>
          <w:rFonts w:hint="eastAsia" w:cs="Times New Roman"/>
          <w:color w:val="auto"/>
          <w:kern w:val="0"/>
          <w:sz w:val="24"/>
          <w:szCs w:val="22"/>
          <w:highlight w:val="none"/>
          <w:lang w:val="en-US" w:eastAsia="zh-CN" w:bidi="ar-SA"/>
        </w:rPr>
        <w:t>用于杀灭纤毛虫、鞭毛虫等寄生性原生动物。本标准是参考</w:t>
      </w:r>
      <w:r>
        <w:rPr>
          <w:rFonts w:hint="default" w:ascii="宋体" w:hAnsi="Times New Roman" w:eastAsia="宋体" w:cs="Times New Roman"/>
          <w:color w:val="auto"/>
          <w:kern w:val="0"/>
          <w:sz w:val="24"/>
          <w:szCs w:val="22"/>
          <w:highlight w:val="none"/>
          <w:lang w:val="en-US" w:eastAsia="zh-CN" w:bidi="ar-SA"/>
        </w:rPr>
        <w:t>NY 5071</w:t>
      </w:r>
      <w:r>
        <w:rPr>
          <w:rFonts w:hint="eastAsia" w:cs="Times New Roman"/>
          <w:color w:val="auto"/>
          <w:kern w:val="0"/>
          <w:sz w:val="24"/>
          <w:szCs w:val="22"/>
          <w:highlight w:val="none"/>
          <w:lang w:val="en-US" w:eastAsia="zh-CN" w:bidi="ar-SA"/>
        </w:rPr>
        <w:t>-2002</w:t>
      </w:r>
      <w:r>
        <w:rPr>
          <w:rFonts w:hint="default" w:ascii="宋体" w:hAnsi="Times New Roman" w:eastAsia="宋体" w:cs="Times New Roman"/>
          <w:color w:val="auto"/>
          <w:kern w:val="0"/>
          <w:sz w:val="24"/>
          <w:szCs w:val="22"/>
          <w:highlight w:val="none"/>
          <w:lang w:val="en-US" w:eastAsia="zh-CN" w:bidi="ar-SA"/>
        </w:rPr>
        <w:t xml:space="preserve"> </w:t>
      </w:r>
      <w:r>
        <w:rPr>
          <w:rFonts w:hint="eastAsia" w:ascii="宋体" w:hAnsi="Times New Roman" w:eastAsia="宋体" w:cs="Times New Roman"/>
          <w:color w:val="auto"/>
          <w:kern w:val="0"/>
          <w:sz w:val="24"/>
          <w:szCs w:val="22"/>
          <w:highlight w:val="none"/>
          <w:lang w:val="en-US" w:eastAsia="zh-CN" w:bidi="ar-SA"/>
        </w:rPr>
        <w:t>无公害食品 渔用药物使用准则 第5条 渔用药物使用方法中提到的消毒方式：（海水鱼）浸浴：硫酸铜8mg/L（8mg/L～10mg/L），15 min～30 min。</w:t>
      </w:r>
      <w:r>
        <w:rPr>
          <w:rFonts w:hint="eastAsia" w:cs="Times New Roman"/>
          <w:color w:val="auto"/>
          <w:kern w:val="0"/>
          <w:sz w:val="24"/>
          <w:szCs w:val="22"/>
          <w:highlight w:val="none"/>
          <w:lang w:val="en-US" w:eastAsia="zh-CN" w:bidi="ar-SA"/>
        </w:rPr>
        <w:t>关于放养密度，较小的放养密度不经济，较大的放养密度对成鱼的快速生长影响较大，</w:t>
      </w:r>
      <w:r>
        <w:rPr>
          <w:rFonts w:hint="eastAsia" w:hAnsi="宋体" w:cs="宋体"/>
          <w:color w:val="auto"/>
          <w:kern w:val="0"/>
          <w:szCs w:val="24"/>
          <w:highlight w:val="none"/>
          <w:lang w:val="en-US" w:eastAsia="zh-CN" w:bidi="ar-SA"/>
        </w:rPr>
        <w:t>郭根喜</w:t>
      </w:r>
      <w:r>
        <w:rPr>
          <w:rFonts w:hint="eastAsia" w:cs="宋体"/>
          <w:color w:val="auto"/>
          <w:kern w:val="0"/>
          <w:szCs w:val="24"/>
          <w:highlight w:val="none"/>
          <w:lang w:val="en-US" w:eastAsia="zh-CN" w:bidi="ar-SA"/>
        </w:rPr>
        <w:t>等</w:t>
      </w:r>
      <w:r>
        <w:rPr>
          <w:rFonts w:hint="eastAsia" w:hAnsi="宋体" w:cs="宋体"/>
          <w:color w:val="auto"/>
          <w:kern w:val="0"/>
          <w:szCs w:val="24"/>
          <w:highlight w:val="none"/>
          <w:lang w:val="en-US" w:eastAsia="zh-CN" w:bidi="ar-SA"/>
        </w:rPr>
        <w:t>在《</w:t>
      </w:r>
      <w:r>
        <w:rPr>
          <w:rFonts w:hint="eastAsia" w:cs="宋体"/>
          <w:color w:val="auto"/>
          <w:kern w:val="0"/>
          <w:szCs w:val="24"/>
          <w:highlight w:val="none"/>
          <w:lang w:val="en-US" w:eastAsia="zh-CN" w:bidi="ar-SA"/>
        </w:rPr>
        <w:t>深水网箱</w:t>
      </w:r>
      <w:r>
        <w:rPr>
          <w:rFonts w:hint="eastAsia" w:hAnsi="宋体" w:cs="宋体"/>
          <w:color w:val="auto"/>
          <w:kern w:val="0"/>
          <w:szCs w:val="24"/>
          <w:highlight w:val="none"/>
          <w:lang w:val="en-US" w:eastAsia="zh-CN" w:bidi="ar-SA"/>
        </w:rPr>
        <w:t>养殖军曹鱼技术要点》中</w:t>
      </w:r>
      <w:r>
        <w:rPr>
          <w:rFonts w:hint="eastAsia" w:cs="宋体"/>
          <w:color w:val="auto"/>
          <w:kern w:val="0"/>
          <w:szCs w:val="24"/>
          <w:highlight w:val="none"/>
          <w:lang w:val="en-US" w:eastAsia="zh-CN" w:bidi="ar-SA"/>
        </w:rPr>
        <w:t>提及，投放1500g规格的鱼种以</w:t>
      </w:r>
      <w:r>
        <w:rPr>
          <w:rFonts w:hint="eastAsia"/>
          <w:color w:val="auto"/>
          <w:highlight w:val="none"/>
        </w:rPr>
        <w:t>以</w:t>
      </w:r>
      <w:r>
        <w:rPr>
          <w:rFonts w:hint="eastAsia"/>
          <w:color w:val="auto"/>
          <w:highlight w:val="none"/>
          <w:lang w:eastAsia="zh-CN"/>
        </w:rPr>
        <w:t>（</w:t>
      </w:r>
      <w:r>
        <w:rPr>
          <w:rFonts w:hint="eastAsia"/>
          <w:color w:val="auto"/>
          <w:highlight w:val="none"/>
        </w:rPr>
        <w:t>2～4</w:t>
      </w:r>
      <w:r>
        <w:rPr>
          <w:rFonts w:hint="eastAsia"/>
          <w:color w:val="auto"/>
          <w:highlight w:val="none"/>
          <w:lang w:eastAsia="zh-CN"/>
        </w:rPr>
        <w:t>）</w:t>
      </w:r>
      <w:r>
        <w:rPr>
          <w:rFonts w:hint="eastAsia"/>
          <w:color w:val="auto"/>
          <w:highlight w:val="none"/>
        </w:rPr>
        <w:t>尾/</w:t>
      </w:r>
      <w:r>
        <w:rPr>
          <w:rFonts w:hint="eastAsia"/>
          <w:color w:val="auto"/>
          <w:highlight w:val="none"/>
          <w:lang w:val="en-US" w:eastAsia="zh-CN"/>
        </w:rPr>
        <w:t>m</w:t>
      </w:r>
      <w:r>
        <w:rPr>
          <w:rFonts w:hint="eastAsia"/>
          <w:color w:val="auto"/>
          <w:highlight w:val="none"/>
          <w:vertAlign w:val="superscript"/>
        </w:rPr>
        <w:t>3</w:t>
      </w:r>
      <w:r>
        <w:rPr>
          <w:rFonts w:hint="eastAsia"/>
          <w:color w:val="auto"/>
          <w:highlight w:val="none"/>
        </w:rPr>
        <w:t>较为适宜。</w:t>
      </w:r>
      <w:r>
        <w:rPr>
          <w:rFonts w:hint="eastAsia"/>
          <w:color w:val="auto"/>
          <w:highlight w:val="none"/>
          <w:lang w:val="en-US" w:eastAsia="zh-CN"/>
        </w:rPr>
        <w:t>考虑到湛江冬季水温较低，不适合全年养殖，且湛江并非军曹鱼主消费区，因此，在较短的时间内养殖出较大规格的商品鱼尤为重要，本标准采用</w:t>
      </w:r>
      <w:r>
        <w:rPr>
          <w:rFonts w:hint="eastAsia"/>
          <w:color w:val="auto"/>
          <w:highlight w:val="none"/>
          <w:lang w:eastAsia="zh-CN"/>
        </w:rPr>
        <w:t>（</w:t>
      </w:r>
      <w:r>
        <w:rPr>
          <w:rFonts w:hint="eastAsia"/>
          <w:color w:val="auto"/>
          <w:highlight w:val="none"/>
        </w:rPr>
        <w:t>2～</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尾/</w:t>
      </w:r>
      <w:r>
        <w:rPr>
          <w:rFonts w:hint="eastAsia"/>
          <w:color w:val="auto"/>
          <w:highlight w:val="none"/>
          <w:lang w:val="en-US" w:eastAsia="zh-CN"/>
        </w:rPr>
        <w:t>m</w:t>
      </w:r>
      <w:r>
        <w:rPr>
          <w:rFonts w:hint="eastAsia"/>
          <w:color w:val="auto"/>
          <w:highlight w:val="none"/>
          <w:vertAlign w:val="superscript"/>
        </w:rPr>
        <w:t>3</w:t>
      </w:r>
      <w:r>
        <w:rPr>
          <w:rFonts w:hint="eastAsia"/>
          <w:color w:val="auto"/>
          <w:highlight w:val="none"/>
          <w:vertAlign w:val="baseline"/>
          <w:lang w:val="en-US" w:eastAsia="zh-CN"/>
        </w:rPr>
        <w:t>的放养密度。</w:t>
      </w:r>
    </w:p>
    <w:p>
      <w:pPr>
        <w:widowControl w:val="0"/>
        <w:spacing w:line="360" w:lineRule="auto"/>
        <w:ind w:firstLine="482" w:firstLineChars="200"/>
        <w:jc w:val="both"/>
        <w:rPr>
          <w:rFonts w:hint="default" w:eastAsia="宋体"/>
          <w:b/>
          <w:bCs/>
          <w:snapToGrid w:val="0"/>
          <w:color w:val="auto"/>
          <w:highlight w:val="none"/>
          <w:lang w:val="en-US" w:eastAsia="zh-CN"/>
        </w:rPr>
      </w:pPr>
      <w:r>
        <w:rPr>
          <w:rFonts w:hint="eastAsia"/>
          <w:b/>
          <w:bCs/>
          <w:snapToGrid w:val="0"/>
          <w:color w:val="auto"/>
          <w:highlight w:val="none"/>
          <w:lang w:val="en-US" w:eastAsia="zh-CN"/>
        </w:rPr>
        <w:t>4 饲养与管理</w:t>
      </w:r>
    </w:p>
    <w:p>
      <w:pPr>
        <w:widowControl w:val="0"/>
        <w:spacing w:line="360" w:lineRule="auto"/>
        <w:ind w:firstLine="482" w:firstLineChars="200"/>
        <w:jc w:val="both"/>
        <w:rPr>
          <w:rFonts w:hint="eastAsia"/>
          <w:b/>
          <w:bCs/>
          <w:snapToGrid w:val="0"/>
          <w:color w:val="auto"/>
          <w:highlight w:val="none"/>
          <w:lang w:val="en-US" w:eastAsia="zh-CN"/>
        </w:rPr>
      </w:pPr>
      <w:r>
        <w:rPr>
          <w:rFonts w:hint="eastAsia"/>
          <w:b/>
          <w:bCs/>
          <w:snapToGrid w:val="0"/>
          <w:color w:val="auto"/>
          <w:highlight w:val="none"/>
          <w:lang w:val="en-US" w:eastAsia="zh-CN"/>
        </w:rPr>
        <w:t>4.1饲料</w:t>
      </w:r>
    </w:p>
    <w:p>
      <w:pPr>
        <w:widowControl w:val="0"/>
        <w:spacing w:line="360" w:lineRule="auto"/>
        <w:ind w:firstLine="480" w:firstLineChars="200"/>
        <w:jc w:val="both"/>
        <w:rPr>
          <w:rFonts w:hint="eastAsia"/>
          <w:b/>
          <w:bCs/>
          <w:snapToGrid w:val="0"/>
          <w:color w:val="auto"/>
          <w:highlight w:val="none"/>
          <w:lang w:val="en-US" w:eastAsia="zh-CN"/>
        </w:rPr>
      </w:pPr>
      <w:r>
        <w:rPr>
          <w:rFonts w:hint="eastAsia"/>
          <w:snapToGrid w:val="0"/>
          <w:color w:val="auto"/>
          <w:highlight w:val="none"/>
          <w:lang w:val="en-US" w:eastAsia="zh-CN"/>
        </w:rPr>
        <w:t>军曹鱼饲料包括人工配合饲料和冰鲜饵料鱼两种。</w:t>
      </w:r>
      <w:r>
        <w:rPr>
          <w:rFonts w:hint="eastAsia"/>
          <w:color w:val="auto"/>
          <w:highlight w:val="none"/>
        </w:rPr>
        <w:t>军曹鱼人工配合饲料，根据军曹鱼的不同生长阶段选用粒径大小合适的饲料，饲料标准按</w:t>
      </w:r>
      <w:r>
        <w:rPr>
          <w:color w:val="auto"/>
          <w:highlight w:val="none"/>
        </w:rPr>
        <w:t xml:space="preserve"> </w:t>
      </w:r>
      <w:r>
        <w:rPr>
          <w:rFonts w:hint="eastAsia" w:ascii="Times New Roman"/>
          <w:iCs/>
          <w:color w:val="auto"/>
          <w:highlight w:val="none"/>
        </w:rPr>
        <w:t>GB/T 22919.2-2008</w:t>
      </w:r>
      <w:r>
        <w:rPr>
          <w:rFonts w:hint="eastAsia"/>
          <w:color w:val="auto"/>
          <w:highlight w:val="none"/>
        </w:rPr>
        <w:t xml:space="preserve"> 水产配合饲料第</w:t>
      </w:r>
      <w:r>
        <w:rPr>
          <w:rFonts w:hint="eastAsia" w:ascii="Times New Roman"/>
          <w:iCs/>
          <w:color w:val="auto"/>
          <w:highlight w:val="none"/>
        </w:rPr>
        <w:t>2</w:t>
      </w:r>
      <w:r>
        <w:rPr>
          <w:rFonts w:hint="eastAsia"/>
          <w:color w:val="auto"/>
          <w:highlight w:val="none"/>
        </w:rPr>
        <w:t>部分：军曹鱼配合饲料执行，保证饲料中所含的蛋白质含量</w:t>
      </w:r>
      <w:r>
        <w:rPr>
          <w:rFonts w:hint="eastAsia" w:ascii="Times New Roman"/>
          <w:iCs/>
          <w:color w:val="auto"/>
          <w:highlight w:val="none"/>
        </w:rPr>
        <w:t>4</w:t>
      </w:r>
      <w:r>
        <w:rPr>
          <w:rFonts w:ascii="Times New Roman"/>
          <w:iCs/>
          <w:color w:val="auto"/>
          <w:highlight w:val="none"/>
        </w:rPr>
        <w:t>2%</w:t>
      </w:r>
      <w:r>
        <w:rPr>
          <w:color w:val="auto"/>
          <w:highlight w:val="none"/>
        </w:rPr>
        <w:t>以上；冰鲜杂鱼也是军曹鱼的主要饵料，主要有麦穗鱼、野鲫鱼、银飘鱼、秋刀鱼和青鳞鱼等品种。</w:t>
      </w:r>
      <w:r>
        <w:rPr>
          <w:rFonts w:hint="eastAsia"/>
          <w:color w:val="auto"/>
          <w:highlight w:val="none"/>
          <w:lang w:val="en-US" w:eastAsia="zh-CN"/>
        </w:rPr>
        <w:t>冰鲜饵料鱼要求解冻后皮肤有光泽、表皮完整无破损、</w:t>
      </w:r>
      <w:r>
        <w:rPr>
          <w:rFonts w:hint="eastAsia"/>
          <w:color w:val="auto"/>
          <w:highlight w:val="none"/>
        </w:rPr>
        <w:t>眼球饱满突出</w:t>
      </w:r>
      <w:r>
        <w:rPr>
          <w:rFonts w:hint="eastAsia"/>
          <w:color w:val="auto"/>
          <w:highlight w:val="none"/>
          <w:lang w:eastAsia="zh-CN"/>
        </w:rPr>
        <w:t>、</w:t>
      </w:r>
      <w:r>
        <w:rPr>
          <w:rFonts w:hint="eastAsia"/>
          <w:color w:val="auto"/>
          <w:highlight w:val="none"/>
        </w:rPr>
        <w:t>鳃丝清晰呈鲜红色</w:t>
      </w:r>
      <w:r>
        <w:rPr>
          <w:rFonts w:hint="eastAsia"/>
          <w:color w:val="auto"/>
          <w:highlight w:val="none"/>
          <w:lang w:eastAsia="zh-CN"/>
        </w:rPr>
        <w:t>、</w:t>
      </w:r>
      <w:r>
        <w:rPr>
          <w:rFonts w:hint="eastAsia"/>
          <w:color w:val="auto"/>
          <w:highlight w:val="none"/>
          <w:lang w:val="en-US" w:eastAsia="zh-CN"/>
        </w:rPr>
        <w:t>鱼肉有弹性。</w:t>
      </w:r>
    </w:p>
    <w:p>
      <w:pPr>
        <w:widowControl w:val="0"/>
        <w:spacing w:line="360" w:lineRule="auto"/>
        <w:ind w:firstLine="482" w:firstLineChars="200"/>
        <w:jc w:val="both"/>
        <w:rPr>
          <w:rFonts w:hint="eastAsia"/>
          <w:b/>
          <w:bCs/>
          <w:snapToGrid w:val="0"/>
          <w:color w:val="auto"/>
          <w:highlight w:val="none"/>
          <w:lang w:val="en-US" w:eastAsia="zh-CN"/>
        </w:rPr>
      </w:pPr>
      <w:r>
        <w:rPr>
          <w:rFonts w:hint="eastAsia"/>
          <w:b/>
          <w:bCs/>
          <w:snapToGrid w:val="0"/>
          <w:color w:val="auto"/>
          <w:highlight w:val="none"/>
          <w:lang w:val="en-US" w:eastAsia="zh-CN"/>
        </w:rPr>
        <w:t xml:space="preserve">4.2投喂 </w:t>
      </w:r>
    </w:p>
    <w:p>
      <w:pPr>
        <w:widowControl w:val="0"/>
        <w:spacing w:line="360" w:lineRule="auto"/>
        <w:ind w:firstLine="480" w:firstLineChars="200"/>
        <w:jc w:val="both"/>
        <w:rPr>
          <w:rFonts w:hint="eastAsia"/>
          <w:color w:val="auto"/>
          <w:highlight w:val="none"/>
          <w:lang w:eastAsia="zh-CN"/>
        </w:rPr>
      </w:pPr>
      <w:r>
        <w:rPr>
          <w:rFonts w:hint="eastAsia"/>
          <w:color w:val="auto"/>
          <w:highlight w:val="none"/>
          <w:lang w:val="en-US" w:eastAsia="zh-CN"/>
        </w:rPr>
        <w:t>广东省地方标准</w:t>
      </w:r>
      <w:r>
        <w:rPr>
          <w:rFonts w:hint="default"/>
          <w:color w:val="auto"/>
          <w:highlight w:val="none"/>
          <w:lang w:val="en-US" w:eastAsia="zh-CN"/>
        </w:rPr>
        <w:t>DB44/T 2380—2022</w:t>
      </w:r>
      <w:r>
        <w:rPr>
          <w:rFonts w:hint="eastAsia"/>
          <w:color w:val="auto"/>
          <w:highlight w:val="none"/>
          <w:lang w:val="en-US" w:eastAsia="zh-CN"/>
        </w:rPr>
        <w:t>军曹鱼网箱养殖技术规范7.2.2中有提及投喂时间：</w:t>
      </w:r>
      <w:r>
        <w:rPr>
          <w:rFonts w:hint="eastAsia"/>
          <w:color w:val="auto"/>
          <w:highlight w:val="none"/>
        </w:rPr>
        <w:t>正常情况下，日投喂</w:t>
      </w:r>
      <w:r>
        <w:rPr>
          <w:rFonts w:hint="default"/>
          <w:color w:val="auto"/>
          <w:highlight w:val="none"/>
        </w:rPr>
        <w:t>1</w:t>
      </w:r>
      <w:r>
        <w:rPr>
          <w:rFonts w:hint="eastAsia"/>
          <w:color w:val="auto"/>
          <w:highlight w:val="none"/>
        </w:rPr>
        <w:t>次～</w:t>
      </w:r>
      <w:r>
        <w:rPr>
          <w:rFonts w:hint="default"/>
          <w:color w:val="auto"/>
          <w:highlight w:val="none"/>
        </w:rPr>
        <w:t>2</w:t>
      </w:r>
      <w:r>
        <w:rPr>
          <w:rFonts w:hint="eastAsia"/>
          <w:color w:val="auto"/>
          <w:highlight w:val="none"/>
        </w:rPr>
        <w:t>次为宜。小潮汛时在清晨和傍晚投饲，大潮汛时应选择平潮或缓潮时投饲</w:t>
      </w:r>
      <w:r>
        <w:rPr>
          <w:rFonts w:hint="eastAsia"/>
          <w:color w:val="auto"/>
          <w:highlight w:val="none"/>
          <w:lang w:eastAsia="zh-CN"/>
        </w:rPr>
        <w:t>。</w:t>
      </w:r>
    </w:p>
    <w:p>
      <w:pPr>
        <w:widowControl w:val="0"/>
        <w:spacing w:line="360" w:lineRule="auto"/>
        <w:ind w:firstLine="480" w:firstLineChars="200"/>
        <w:jc w:val="both"/>
        <w:rPr>
          <w:rFonts w:hint="eastAsia" w:eastAsia="黑体"/>
          <w:color w:val="auto"/>
          <w:highlight w:val="none"/>
          <w:vertAlign w:val="baseline"/>
          <w:lang w:val="en-US" w:eastAsia="zh-CN"/>
        </w:rPr>
      </w:pPr>
      <w:r>
        <w:rPr>
          <w:rFonts w:hint="eastAsia"/>
          <w:color w:val="auto"/>
          <w:sz w:val="24"/>
          <w:szCs w:val="24"/>
          <w:highlight w:val="none"/>
          <w:lang w:val="en-US" w:eastAsia="zh-CN"/>
        </w:rPr>
        <w:t>区又君等在《卵形鲳鲹 花鲈 军曹鱼 黄鳍鲷 美国红鱼 高效生态养殖新技术》中P90提到军曹鱼的投喂原则、投喂方法及投喂量。投喂原则为：</w:t>
      </w:r>
      <w:r>
        <w:rPr>
          <w:rFonts w:hint="eastAsia"/>
          <w:color w:val="auto"/>
          <w:sz w:val="24"/>
          <w:szCs w:val="24"/>
          <w:highlight w:val="none"/>
          <w:lang w:eastAsia="zh-CN"/>
        </w:rPr>
        <w:t>小潮汛多投，大潮汛少投；透明度大时多投，浑浊时少投；水温适宜时多投，反之少投。</w:t>
      </w:r>
      <w:r>
        <w:rPr>
          <w:rFonts w:hint="eastAsia"/>
          <w:color w:val="auto"/>
          <w:sz w:val="24"/>
          <w:szCs w:val="24"/>
          <w:highlight w:val="none"/>
          <w:lang w:val="en-US" w:eastAsia="zh-CN"/>
        </w:rPr>
        <w:t>投喂方法为：</w:t>
      </w:r>
      <w:r>
        <w:rPr>
          <w:rFonts w:hint="eastAsia"/>
          <w:color w:val="auto"/>
          <w:sz w:val="24"/>
          <w:szCs w:val="24"/>
          <w:highlight w:val="none"/>
          <w:lang w:eastAsia="zh-CN"/>
        </w:rPr>
        <w:t>鱼种投放后第</w:t>
      </w:r>
      <w:r>
        <w:rPr>
          <w:rFonts w:hint="eastAsia"/>
          <w:color w:val="auto"/>
          <w:sz w:val="24"/>
          <w:szCs w:val="24"/>
          <w:highlight w:val="none"/>
          <w:lang w:val="en-US" w:eastAsia="zh-CN"/>
        </w:rPr>
        <w:t xml:space="preserve"> 2 天就可以开始投喂饲料，具体操作方法为：投喂初期应以量少慢投，以引诱鱼类上来摄食；待大部分鱼类上来抢食时，则应以量多快投；当绝大多数鱼类沉下箱底时，又恢复量少慢投，以关照弱小鱼类也能吃饱。正常情况下，上午 8 ～ 9 时，下午 5 ～ 6 时各投喂一次。</w:t>
      </w:r>
      <w:r>
        <w:rPr>
          <w:rFonts w:hint="eastAsia"/>
          <w:color w:val="auto"/>
          <w:highlight w:val="none"/>
          <w:lang w:val="en-US" w:eastAsia="zh-CN"/>
        </w:rPr>
        <w:t>饵料日</w:t>
      </w:r>
      <w:r>
        <w:rPr>
          <w:rFonts w:hint="eastAsia"/>
          <w:color w:val="auto"/>
          <w:highlight w:val="none"/>
        </w:rPr>
        <w:t>投喂量为鱼体重的</w:t>
      </w:r>
      <w:r>
        <w:rPr>
          <w:rFonts w:hint="eastAsia" w:hAnsi="宋体" w:cs="宋体"/>
          <w:b w:val="0"/>
          <w:bCs w:val="0"/>
          <w:color w:val="auto"/>
          <w:sz w:val="21"/>
          <w:szCs w:val="21"/>
          <w:highlight w:val="none"/>
          <w:vertAlign w:val="superscript"/>
          <w:lang w:val="en-US" w:eastAsia="zh-CN"/>
        </w:rPr>
        <w:t xml:space="preserve"> </w:t>
      </w:r>
      <w:r>
        <w:rPr>
          <w:rFonts w:ascii="Times New Roman"/>
          <w:iCs/>
          <w:color w:val="auto"/>
          <w:highlight w:val="none"/>
        </w:rPr>
        <w:t>10</w:t>
      </w:r>
      <w:r>
        <w:rPr>
          <w:rFonts w:hint="eastAsia" w:ascii="Times New Roman"/>
          <w:iCs/>
          <w:color w:val="auto"/>
          <w:highlight w:val="none"/>
        </w:rPr>
        <w:t>%</w:t>
      </w:r>
      <w:r>
        <w:rPr>
          <w:rFonts w:hint="eastAsia" w:ascii="Times New Roman"/>
          <w:iCs/>
          <w:color w:val="auto"/>
          <w:highlight w:val="none"/>
          <w:lang w:val="en-US" w:eastAsia="zh-CN"/>
        </w:rPr>
        <w:t>左右</w:t>
      </w:r>
      <w:r>
        <w:rPr>
          <w:rFonts w:hint="eastAsia" w:hAnsi="宋体" w:cs="宋体"/>
          <w:b w:val="0"/>
          <w:bCs w:val="0"/>
          <w:color w:val="auto"/>
          <w:sz w:val="21"/>
          <w:szCs w:val="21"/>
          <w:highlight w:val="none"/>
          <w:vertAlign w:val="superscript"/>
          <w:lang w:val="en-US" w:eastAsia="zh-CN"/>
        </w:rPr>
        <w:t xml:space="preserve"> </w:t>
      </w:r>
      <w:r>
        <w:rPr>
          <w:rFonts w:hint="eastAsia" w:cs="宋体"/>
          <w:b w:val="0"/>
          <w:bCs w:val="0"/>
          <w:color w:val="auto"/>
          <w:sz w:val="21"/>
          <w:szCs w:val="21"/>
          <w:highlight w:val="none"/>
          <w:vertAlign w:val="baseline"/>
          <w:lang w:val="en-US" w:eastAsia="zh-CN"/>
        </w:rPr>
        <w:t>。</w:t>
      </w:r>
      <w:r>
        <w:rPr>
          <w:rFonts w:hint="eastAsia"/>
          <w:color w:val="auto"/>
          <w:highlight w:val="none"/>
          <w:lang w:val="en-US" w:eastAsia="zh-CN"/>
        </w:rPr>
        <w:t>郭泽雄《近海浮绳式网箱养殖军曹鱼技术要点》提到：小杂鱼饵料日投喂量为鱼体重的10%。也可用人工配合饲料，日投喂量为鱼体重的</w:t>
      </w:r>
      <w:r>
        <w:rPr>
          <w:rFonts w:hint="default"/>
          <w:color w:val="auto"/>
          <w:highlight w:val="none"/>
        </w:rPr>
        <w:t>4</w:t>
      </w:r>
      <w:r>
        <w:rPr>
          <w:rFonts w:hint="eastAsia"/>
          <w:color w:val="auto"/>
          <w:highlight w:val="none"/>
        </w:rPr>
        <w:t>％～</w:t>
      </w:r>
      <w:r>
        <w:rPr>
          <w:rFonts w:hint="default"/>
          <w:color w:val="auto"/>
          <w:highlight w:val="none"/>
        </w:rPr>
        <w:t>6</w:t>
      </w:r>
      <w:r>
        <w:rPr>
          <w:rFonts w:hint="eastAsia"/>
          <w:color w:val="auto"/>
          <w:highlight w:val="none"/>
        </w:rPr>
        <w:t>％</w:t>
      </w:r>
      <w:r>
        <w:rPr>
          <w:rFonts w:hint="eastAsia"/>
          <w:color w:val="auto"/>
          <w:highlight w:val="none"/>
          <w:lang w:eastAsia="zh-CN"/>
        </w:rPr>
        <w:t>。</w:t>
      </w:r>
    </w:p>
    <w:p>
      <w:pPr>
        <w:widowControl w:val="0"/>
        <w:spacing w:line="360" w:lineRule="auto"/>
        <w:ind w:firstLine="482" w:firstLineChars="200"/>
        <w:jc w:val="both"/>
        <w:rPr>
          <w:rFonts w:hint="eastAsia"/>
          <w:b/>
          <w:bCs/>
          <w:snapToGrid w:val="0"/>
          <w:color w:val="auto"/>
          <w:highlight w:val="none"/>
          <w:lang w:val="en-US" w:eastAsia="zh-CN"/>
        </w:rPr>
      </w:pPr>
      <w:r>
        <w:rPr>
          <w:rFonts w:hint="eastAsia"/>
          <w:b/>
          <w:bCs/>
          <w:snapToGrid w:val="0"/>
          <w:color w:val="auto"/>
          <w:highlight w:val="none"/>
          <w:lang w:val="en-US" w:eastAsia="zh-CN"/>
        </w:rPr>
        <w:t>4.3日常管理</w:t>
      </w:r>
    </w:p>
    <w:p>
      <w:pPr>
        <w:widowControl w:val="0"/>
        <w:spacing w:line="360" w:lineRule="auto"/>
        <w:ind w:firstLine="480" w:firstLineChars="200"/>
        <w:jc w:val="both"/>
        <w:rPr>
          <w:rFonts w:hint="default"/>
          <w:color w:val="auto"/>
          <w:highlight w:val="none"/>
          <w:lang w:val="en-US"/>
        </w:rPr>
      </w:pPr>
      <w:r>
        <w:rPr>
          <w:rFonts w:hint="eastAsia"/>
          <w:color w:val="auto"/>
          <w:highlight w:val="none"/>
          <w:lang w:val="en-US" w:eastAsia="zh-CN"/>
        </w:rPr>
        <w:t>日常监测与巡查：随着成鱼长大要避免网衣对军曹鱼的机械性损伤，导致继发性感染。</w:t>
      </w:r>
      <w:r>
        <w:rPr>
          <w:rFonts w:hint="eastAsia"/>
          <w:color w:val="auto"/>
          <w:highlight w:val="none"/>
        </w:rPr>
        <w:t>定期安排潜水员对平台养殖舱安全情况进行检查，包括检查网衣的清洁程度、网衣是否破损等。每天做好养殖日志，记录天气、风浪、水温、盐度、</w:t>
      </w:r>
      <w:r>
        <w:rPr>
          <w:rFonts w:hint="eastAsia" w:ascii="Times New Roman"/>
          <w:iCs/>
          <w:color w:val="auto"/>
          <w:highlight w:val="none"/>
        </w:rPr>
        <w:t>pH</w:t>
      </w:r>
      <w:r>
        <w:rPr>
          <w:rFonts w:hint="eastAsia"/>
          <w:color w:val="auto"/>
          <w:highlight w:val="none"/>
        </w:rPr>
        <w:t>值、投喂饲料的种类和数量、鱼的活动、摄食情况、鱼类健康状况，病害防治情况及死鱼、病鱼数量、用药情况等内容。定期取样测量体长和体重。</w:t>
      </w:r>
      <w:r>
        <w:rPr>
          <w:rFonts w:hint="eastAsia"/>
          <w:color w:val="auto"/>
          <w:highlight w:val="none"/>
          <w:lang w:val="en-US" w:eastAsia="zh-CN"/>
        </w:rPr>
        <w:t>广东省地方标准</w:t>
      </w:r>
      <w:r>
        <w:rPr>
          <w:rFonts w:hint="default"/>
          <w:color w:val="auto"/>
          <w:highlight w:val="none"/>
          <w:lang w:val="en-US" w:eastAsia="zh-CN"/>
        </w:rPr>
        <w:t>DB44/T 2380—2022</w:t>
      </w:r>
      <w:r>
        <w:rPr>
          <w:rFonts w:hint="eastAsia"/>
          <w:color w:val="auto"/>
          <w:highlight w:val="none"/>
          <w:lang w:val="en-US" w:eastAsia="zh-CN"/>
        </w:rPr>
        <w:t>军曹鱼网箱养殖技术规范7.3.2条对此有过规定。</w:t>
      </w:r>
    </w:p>
    <w:p>
      <w:pPr>
        <w:widowControl w:val="0"/>
        <w:spacing w:line="360" w:lineRule="auto"/>
        <w:ind w:firstLine="480" w:firstLineChars="200"/>
        <w:jc w:val="both"/>
        <w:rPr>
          <w:color w:val="auto"/>
          <w:highlight w:val="none"/>
        </w:rPr>
      </w:pPr>
      <w:r>
        <w:rPr>
          <w:rFonts w:hint="eastAsia"/>
          <w:color w:val="auto"/>
          <w:highlight w:val="none"/>
          <w:lang w:val="en-US" w:eastAsia="zh-CN"/>
        </w:rPr>
        <w:t>清洗网衣：根据网衣上附着生物量及鱼类养殖情况进行清洗。宜15 d～25 d清洗一次。可以采用水下机器人观察网衣情况，利用水下高压水枪喷洗，清除污损生物；或通过潜水员水下观察网衣情况，确定清洗网衣计划。</w:t>
      </w:r>
    </w:p>
    <w:p>
      <w:pPr>
        <w:bidi w:val="0"/>
        <w:spacing w:line="360" w:lineRule="auto"/>
        <w:ind w:firstLine="480" w:firstLineChars="200"/>
        <w:rPr>
          <w:rFonts w:hint="eastAsia"/>
          <w:color w:val="auto"/>
          <w:highlight w:val="none"/>
        </w:rPr>
      </w:pPr>
      <w:r>
        <w:rPr>
          <w:rFonts w:hint="eastAsia"/>
          <w:color w:val="auto"/>
          <w:highlight w:val="none"/>
          <w:lang w:val="en-US" w:eastAsia="zh-CN"/>
        </w:rPr>
        <w:t>安全生产方面，根据</w:t>
      </w:r>
      <w:r>
        <w:rPr>
          <w:rFonts w:hint="eastAsia"/>
          <w:color w:val="auto"/>
          <w:sz w:val="24"/>
          <w:szCs w:val="24"/>
          <w:highlight w:val="none"/>
          <w:lang w:val="en-US" w:eastAsia="zh-CN"/>
        </w:rPr>
        <w:t>区又君等在《卵形鲳鲹 花鲈 军曹鱼 黄鳍鲷 美国红鱼 高效生态养殖新技术》P91有关安全生产的内容及</w:t>
      </w:r>
      <w:r>
        <w:rPr>
          <w:rFonts w:hint="eastAsia" w:cs="宋体"/>
          <w:color w:val="auto"/>
          <w:sz w:val="24"/>
          <w:szCs w:val="24"/>
          <w:highlight w:val="none"/>
          <w:lang w:val="en-US" w:eastAsia="zh-CN"/>
        </w:rPr>
        <w:t>海南省地方标准</w:t>
      </w:r>
      <w:r>
        <w:rPr>
          <w:rFonts w:hint="default" w:cs="宋体"/>
          <w:color w:val="auto"/>
          <w:sz w:val="24"/>
          <w:szCs w:val="24"/>
          <w:highlight w:val="none"/>
          <w:lang w:val="en-US" w:eastAsia="zh-CN"/>
        </w:rPr>
        <w:t>DB46/T 170—2009</w:t>
      </w:r>
      <w:r>
        <w:rPr>
          <w:rFonts w:hint="eastAsia" w:cs="宋体"/>
          <w:color w:val="auto"/>
          <w:sz w:val="24"/>
          <w:szCs w:val="24"/>
          <w:highlight w:val="none"/>
          <w:lang w:val="en-US" w:eastAsia="zh-CN"/>
        </w:rPr>
        <w:t>军曹鱼深水网箱养殖技术规程</w:t>
      </w:r>
      <w:r>
        <w:rPr>
          <w:rFonts w:hint="eastAsia"/>
          <w:color w:val="auto"/>
          <w:sz w:val="24"/>
          <w:szCs w:val="24"/>
          <w:highlight w:val="none"/>
          <w:lang w:val="en-US" w:eastAsia="zh-CN"/>
        </w:rPr>
        <w:t>7.2.3中内容编制：</w:t>
      </w:r>
      <w:r>
        <w:rPr>
          <w:rFonts w:hint="eastAsia"/>
          <w:color w:val="auto"/>
          <w:highlight w:val="none"/>
        </w:rPr>
        <w:t>在网箱养殖区安装警视标志和灯具，防止过往船只对养殖设施的损害</w:t>
      </w:r>
      <w:r>
        <w:rPr>
          <w:rFonts w:hint="eastAsia"/>
          <w:color w:val="auto"/>
          <w:highlight w:val="none"/>
          <w:lang w:eastAsia="zh-CN"/>
        </w:rPr>
        <w:t>；</w:t>
      </w:r>
      <w:r>
        <w:rPr>
          <w:rFonts w:hint="eastAsia"/>
          <w:color w:val="auto"/>
          <w:highlight w:val="none"/>
        </w:rPr>
        <w:t>在灾害性天气出现之前应</w:t>
      </w:r>
      <w:r>
        <w:rPr>
          <w:rFonts w:hint="eastAsia"/>
          <w:color w:val="auto"/>
          <w:highlight w:val="none"/>
          <w:lang w:val="en-US" w:eastAsia="zh-CN"/>
        </w:rPr>
        <w:t>锚固平台、固定好平台设施，日常用具收回仓库，人员上岸；</w:t>
      </w:r>
      <w:r>
        <w:rPr>
          <w:rFonts w:hint="eastAsia"/>
          <w:color w:val="auto"/>
          <w:highlight w:val="none"/>
        </w:rPr>
        <w:t>在强风暴</w:t>
      </w:r>
      <w:r>
        <w:rPr>
          <w:rFonts w:hint="eastAsia"/>
          <w:color w:val="auto"/>
          <w:highlight w:val="none"/>
          <w:lang w:val="en-US" w:eastAsia="zh-CN"/>
        </w:rPr>
        <w:t>雨</w:t>
      </w:r>
      <w:r>
        <w:rPr>
          <w:rFonts w:hint="eastAsia"/>
          <w:color w:val="auto"/>
          <w:highlight w:val="none"/>
        </w:rPr>
        <w:t xml:space="preserve">过后应及时检查网箱有无损坏，发现问题及时修复。 </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5病害防控</w:t>
      </w:r>
    </w:p>
    <w:p>
      <w:pPr>
        <w:pStyle w:val="36"/>
        <w:spacing w:line="360" w:lineRule="auto"/>
        <w:ind w:firstLine="420"/>
        <w:rPr>
          <w:rFonts w:hint="default"/>
          <w:snapToGrid w:val="0"/>
          <w:color w:val="auto"/>
          <w:sz w:val="24"/>
          <w:szCs w:val="22"/>
          <w:highlight w:val="none"/>
          <w:lang w:val="en-US" w:eastAsia="zh-CN"/>
        </w:rPr>
      </w:pPr>
      <w:r>
        <w:rPr>
          <w:rFonts w:hint="eastAsia"/>
          <w:snapToGrid w:val="0"/>
          <w:color w:val="auto"/>
          <w:sz w:val="24"/>
          <w:szCs w:val="22"/>
          <w:highlight w:val="none"/>
          <w:lang w:val="en-US" w:eastAsia="zh-CN"/>
        </w:rPr>
        <w:t>病害防控的原则为</w:t>
      </w:r>
      <w:r>
        <w:rPr>
          <w:rFonts w:hint="eastAsia" w:eastAsia="宋体"/>
          <w:snapToGrid w:val="0"/>
          <w:color w:val="auto"/>
          <w:sz w:val="24"/>
          <w:szCs w:val="22"/>
          <w:highlight w:val="none"/>
          <w:lang w:val="en-US" w:eastAsia="zh-CN"/>
        </w:rPr>
        <w:t>预防为主，防治结合。</w:t>
      </w:r>
      <w:r>
        <w:rPr>
          <w:rFonts w:hint="eastAsia"/>
          <w:snapToGrid w:val="0"/>
          <w:color w:val="auto"/>
          <w:sz w:val="24"/>
          <w:szCs w:val="22"/>
          <w:highlight w:val="none"/>
          <w:lang w:val="en-US" w:eastAsia="zh-CN"/>
        </w:rPr>
        <w:t>针对病原的预防问题，主要从以下几个方面去考虑：鱼种有无携带病原、饲料质量、鱼种转运过程中的操作、疫病流行期间预防、鱼体免疫力。鱼种病原携带方面，在购买苗种之前，先对鱼种进行特定病原检测，确保购买的鱼种不携带特定病原，且在放养前还要对鱼种进行消毒操作，确保不会从鱼种源头引入病原。饲料质量方面，军曹鱼的饲料有配合饲料和冰鲜鱼两种，在养殖过程中，不能投喂变质或霉变的饲料，冰鲜鱼也需要保证新鲜，如果是冷冻的杂鱼，需要解冻后再投喂。鱼种转运过程中的操作方面，需要注意的是，在运输、放养等操作上应小心，防止鱼体受伤从而导致病原感染。疫病流行期间预防方面，尤其需要注意养殖过程中的预防，鉴于海水网箱是一个开放的养殖空间，在海水病害预防方面，常见的预防措施是网箱内挂消毒剂袋； 病、死鱼应及时捞出，集中到陆地上进行无害化处理。鱼体免疫力方面，一方面采取定期添加免疫增强剂，提高鱼体免疫力；另一方面是注射疫苗，但前提是已开发出针对危害较大特定病原的疫苗。</w:t>
      </w:r>
    </w:p>
    <w:p>
      <w:pPr>
        <w:pStyle w:val="36"/>
        <w:spacing w:line="360" w:lineRule="auto"/>
        <w:ind w:firstLine="420"/>
        <w:rPr>
          <w:rFonts w:hint="default"/>
          <w:snapToGrid w:val="0"/>
          <w:color w:val="auto"/>
          <w:sz w:val="24"/>
          <w:szCs w:val="22"/>
          <w:highlight w:val="none"/>
          <w:lang w:val="en-US" w:eastAsia="zh-CN"/>
        </w:rPr>
      </w:pPr>
      <w:r>
        <w:rPr>
          <w:rFonts w:hint="eastAsia"/>
          <w:snapToGrid w:val="0"/>
          <w:color w:val="auto"/>
          <w:sz w:val="24"/>
          <w:szCs w:val="22"/>
          <w:highlight w:val="none"/>
          <w:lang w:val="en-US" w:eastAsia="zh-CN"/>
        </w:rPr>
        <w:t>针对军曹鱼养殖过程中病原治疗问题，目前对军曹鱼网箱养殖危害较大的病害主要有刺激隐核虫病、弧菌病、蜡状芽孢杆菌病、淋巴囊肿病、神经坏死病毒病等，对这些病害的防治首先要了解其发病季节与发病条件、发病症状，进而能够进行临床诊断，其次应做到对症下药，治疗鱼病所用药品应符合SC/T 1132及中华人民共和国农业农村部发布的《水产养殖用药明白纸2024年1、2号》的规定，不得使用水产养殖禁用药。军曹鱼养殖常见病害防治方法附录A表A.1。</w:t>
      </w:r>
    </w:p>
    <w:p>
      <w:pPr>
        <w:widowControl w:val="0"/>
        <w:spacing w:line="360" w:lineRule="auto"/>
        <w:ind w:firstLine="482" w:firstLineChars="200"/>
        <w:jc w:val="both"/>
        <w:rPr>
          <w:rFonts w:hint="eastAsia"/>
          <w:b/>
          <w:bCs/>
          <w:snapToGrid w:val="0"/>
          <w:color w:val="auto"/>
          <w:highlight w:val="none"/>
          <w:lang w:val="en-US" w:eastAsia="zh-CN"/>
        </w:rPr>
      </w:pPr>
      <w:r>
        <w:rPr>
          <w:rFonts w:hint="eastAsia"/>
          <w:b/>
          <w:bCs/>
          <w:snapToGrid w:val="0"/>
          <w:color w:val="auto"/>
          <w:highlight w:val="none"/>
          <w:lang w:val="en-US" w:eastAsia="zh-CN"/>
        </w:rPr>
        <w:t>6 收获</w:t>
      </w:r>
    </w:p>
    <w:p>
      <w:pPr>
        <w:pStyle w:val="36"/>
        <w:spacing w:line="360" w:lineRule="auto"/>
        <w:ind w:firstLine="420"/>
        <w:rPr>
          <w:rFonts w:hint="eastAsia"/>
          <w:snapToGrid w:val="0"/>
          <w:color w:val="auto"/>
          <w:sz w:val="24"/>
          <w:szCs w:val="22"/>
          <w:highlight w:val="none"/>
          <w:lang w:val="en-US" w:eastAsia="zh-CN"/>
        </w:rPr>
      </w:pPr>
      <w:r>
        <w:rPr>
          <w:rFonts w:hint="eastAsia"/>
          <w:snapToGrid w:val="0"/>
          <w:color w:val="auto"/>
          <w:sz w:val="24"/>
          <w:szCs w:val="22"/>
          <w:highlight w:val="none"/>
          <w:lang w:val="en-US" w:eastAsia="zh-CN"/>
        </w:rPr>
        <w:t>军曹鱼规格达到6kg/尾以上时，可以作为商品鱼销售。当达到商品鱼规格时，升起平台至合理的高度，通过拉网将鱼群聚集至网箱的一角，利用起重机将装鱼网笼拉起，转移至渔获运输船。运输船需提前备好冰水，商品鱼经放血后放入冰水里。起捕前停饵 1 餐。收获上市的产品应检测合格，按相关要求加贴标识，以便追溯；做好收获和销售记录。</w:t>
      </w:r>
    </w:p>
    <w:p>
      <w:pPr>
        <w:widowControl w:val="0"/>
        <w:spacing w:line="360" w:lineRule="auto"/>
        <w:ind w:firstLine="482" w:firstLineChars="200"/>
        <w:jc w:val="both"/>
        <w:rPr>
          <w:rFonts w:hint="default"/>
          <w:b/>
          <w:bCs/>
          <w:snapToGrid w:val="0"/>
          <w:color w:val="auto"/>
          <w:highlight w:val="none"/>
          <w:lang w:val="en-US" w:eastAsia="zh-CN"/>
        </w:rPr>
      </w:pPr>
      <w:r>
        <w:rPr>
          <w:rFonts w:hint="eastAsia"/>
          <w:b/>
          <w:bCs/>
          <w:snapToGrid w:val="0"/>
          <w:color w:val="auto"/>
          <w:highlight w:val="none"/>
          <w:lang w:val="en-US" w:eastAsia="zh-CN"/>
        </w:rPr>
        <w:t>7 记录和档案管理</w:t>
      </w:r>
    </w:p>
    <w:p>
      <w:pPr>
        <w:bidi w:val="0"/>
        <w:spacing w:line="360" w:lineRule="auto"/>
        <w:ind w:firstLine="480" w:firstLineChars="200"/>
        <w:rPr>
          <w:rFonts w:hint="default" w:eastAsia="宋体"/>
          <w:color w:val="auto"/>
          <w:highlight w:val="none"/>
          <w:lang w:val="en-US" w:eastAsia="zh-CN"/>
        </w:rPr>
      </w:pPr>
      <w:r>
        <w:rPr>
          <w:rFonts w:hint="eastAsia"/>
          <w:color w:val="auto"/>
          <w:highlight w:val="none"/>
          <w:lang w:val="en-US" w:eastAsia="zh-CN"/>
        </w:rPr>
        <w:t>军曹鱼养殖过</w:t>
      </w:r>
      <w:r>
        <w:rPr>
          <w:rFonts w:hint="eastAsia"/>
          <w:color w:val="auto"/>
          <w:highlight w:val="none"/>
        </w:rPr>
        <w:t>程应保持记录，记录</w:t>
      </w:r>
      <w:r>
        <w:rPr>
          <w:rFonts w:hint="eastAsia"/>
          <w:color w:val="auto"/>
          <w:highlight w:val="none"/>
          <w:lang w:val="en-US" w:eastAsia="zh-CN"/>
        </w:rPr>
        <w:t>下</w:t>
      </w:r>
      <w:r>
        <w:rPr>
          <w:rFonts w:hint="eastAsia"/>
          <w:color w:val="auto"/>
          <w:highlight w:val="none"/>
        </w:rPr>
        <w:t>鱼</w:t>
      </w:r>
      <w:r>
        <w:rPr>
          <w:rFonts w:hint="eastAsia"/>
          <w:color w:val="auto"/>
          <w:highlight w:val="none"/>
          <w:lang w:val="en-US" w:eastAsia="zh-CN"/>
        </w:rPr>
        <w:t>种</w:t>
      </w:r>
      <w:r>
        <w:rPr>
          <w:rFonts w:hint="eastAsia"/>
          <w:color w:val="auto"/>
          <w:highlight w:val="none"/>
        </w:rPr>
        <w:t>来源、运输密度、放养密度、渔药及饲料采购、</w:t>
      </w:r>
      <w:r>
        <w:rPr>
          <w:rFonts w:hint="eastAsia"/>
          <w:color w:val="auto"/>
          <w:highlight w:val="none"/>
          <w:lang w:val="en-US" w:eastAsia="zh-CN"/>
        </w:rPr>
        <w:t>鱼药及饲料</w:t>
      </w:r>
      <w:r>
        <w:rPr>
          <w:rFonts w:hint="eastAsia"/>
          <w:color w:val="auto"/>
          <w:highlight w:val="none"/>
        </w:rPr>
        <w:t>保存和使用、投饲量、水质检测报告</w:t>
      </w:r>
      <w:r>
        <w:rPr>
          <w:rFonts w:hint="eastAsia"/>
          <w:color w:val="auto"/>
          <w:highlight w:val="none"/>
          <w:lang w:val="en-US" w:eastAsia="zh-CN"/>
        </w:rPr>
        <w:t>等内容</w:t>
      </w:r>
      <w:r>
        <w:rPr>
          <w:rFonts w:hint="eastAsia"/>
          <w:color w:val="auto"/>
          <w:highlight w:val="none"/>
          <w:lang w:eastAsia="zh-CN"/>
        </w:rPr>
        <w:t>，</w:t>
      </w:r>
      <w:r>
        <w:rPr>
          <w:rFonts w:hint="eastAsia"/>
          <w:color w:val="auto"/>
          <w:highlight w:val="none"/>
        </w:rPr>
        <w:t>确保</w:t>
      </w:r>
      <w:r>
        <w:rPr>
          <w:rFonts w:hint="eastAsia"/>
          <w:color w:val="auto"/>
          <w:highlight w:val="none"/>
          <w:lang w:val="en-US" w:eastAsia="zh-CN"/>
        </w:rPr>
        <w:t>养殖</w:t>
      </w:r>
      <w:r>
        <w:rPr>
          <w:rFonts w:hint="eastAsia"/>
          <w:color w:val="auto"/>
          <w:highlight w:val="none"/>
        </w:rPr>
        <w:t>过程可追溯</w:t>
      </w:r>
      <w:r>
        <w:rPr>
          <w:rFonts w:hint="eastAsia"/>
          <w:color w:val="auto"/>
          <w:highlight w:val="none"/>
          <w:lang w:eastAsia="zh-CN"/>
        </w:rPr>
        <w:t>。</w:t>
      </w:r>
      <w:r>
        <w:rPr>
          <w:rFonts w:hint="eastAsia"/>
          <w:color w:val="auto"/>
          <w:highlight w:val="none"/>
          <w:lang w:val="en-US" w:eastAsia="zh-CN"/>
        </w:rPr>
        <w:t>这样有利于养殖结束后经验的总结和技术的积累，为以后的养殖操作提供参考。</w:t>
      </w:r>
    </w:p>
    <w:p>
      <w:pPr>
        <w:pStyle w:val="19"/>
        <w:widowControl w:val="0"/>
        <w:numPr>
          <w:ilvl w:val="0"/>
          <w:numId w:val="0"/>
        </w:numPr>
        <w:spacing w:before="156" w:beforeLines="50" w:after="156" w:afterLines="50" w:line="360" w:lineRule="auto"/>
        <w:ind w:leftChars="0"/>
        <w:jc w:val="both"/>
        <w:outlineLvl w:val="0"/>
        <w:rPr>
          <w:rFonts w:hint="eastAsia" w:eastAsia="黑体" w:cs="Times New Roman"/>
          <w:b/>
          <w:color w:val="auto"/>
          <w:kern w:val="2"/>
          <w:highlight w:val="none"/>
        </w:rPr>
      </w:pPr>
      <w:r>
        <w:rPr>
          <w:rFonts w:hint="eastAsia" w:eastAsia="黑体" w:cs="Times New Roman"/>
          <w:b/>
          <w:color w:val="auto"/>
          <w:kern w:val="2"/>
          <w:highlight w:val="none"/>
          <w:lang w:val="en-US" w:eastAsia="zh-CN"/>
        </w:rPr>
        <w:t xml:space="preserve">三 </w:t>
      </w:r>
      <w:r>
        <w:rPr>
          <w:rFonts w:hint="eastAsia" w:eastAsia="黑体" w:cs="Times New Roman"/>
          <w:b/>
          <w:color w:val="auto"/>
          <w:kern w:val="2"/>
          <w:highlight w:val="none"/>
        </w:rPr>
        <w:t>试验验证的分析、综述报告，技术经济论证，预期的经济效益、社会效益和生态效益</w:t>
      </w:r>
    </w:p>
    <w:p>
      <w:pPr>
        <w:pStyle w:val="19"/>
        <w:widowControl w:val="0"/>
        <w:numPr>
          <w:ilvl w:val="0"/>
          <w:numId w:val="0"/>
        </w:numPr>
        <w:spacing w:line="240" w:lineRule="auto"/>
        <w:jc w:val="both"/>
        <w:rPr>
          <w:rFonts w:hint="eastAsia" w:eastAsia="黑体" w:cs="Times New Roman"/>
          <w:b/>
          <w:color w:val="auto"/>
          <w:kern w:val="2"/>
          <w:highlight w:val="none"/>
          <w:lang w:val="en-US" w:eastAsia="zh-CN"/>
        </w:rPr>
      </w:pPr>
      <w:r>
        <w:rPr>
          <w:rFonts w:hint="eastAsia" w:cs="Times New Roman"/>
          <w:b/>
          <w:bCs/>
          <w:color w:val="auto"/>
          <w:highlight w:val="none"/>
          <w:lang w:eastAsia="zh-CN"/>
        </w:rPr>
        <w:t>（</w:t>
      </w:r>
      <w:r>
        <w:rPr>
          <w:rFonts w:hint="eastAsia" w:cs="Times New Roman"/>
          <w:b/>
          <w:bCs/>
          <w:color w:val="auto"/>
          <w:highlight w:val="none"/>
          <w:lang w:val="en-US" w:eastAsia="zh-CN"/>
        </w:rPr>
        <w:t>一）</w:t>
      </w:r>
      <w:r>
        <w:rPr>
          <w:rFonts w:cs="Times New Roman"/>
          <w:b/>
          <w:bCs/>
          <w:color w:val="auto"/>
          <w:highlight w:val="none"/>
        </w:rPr>
        <w:t>试验</w:t>
      </w:r>
      <w:r>
        <w:rPr>
          <w:rFonts w:hint="eastAsia" w:eastAsia="黑体" w:cs="Times New Roman"/>
          <w:b/>
          <w:color w:val="auto"/>
          <w:kern w:val="2"/>
          <w:highlight w:val="none"/>
        </w:rPr>
        <w:t>验证的分析</w:t>
      </w:r>
      <w:r>
        <w:rPr>
          <w:rFonts w:hint="eastAsia" w:eastAsia="黑体" w:cs="Times New Roman"/>
          <w:b/>
          <w:color w:val="auto"/>
          <w:kern w:val="2"/>
          <w:highlight w:val="none"/>
          <w:lang w:eastAsia="zh-CN"/>
        </w:rPr>
        <w:t>、</w:t>
      </w:r>
      <w:r>
        <w:rPr>
          <w:rFonts w:hint="eastAsia" w:eastAsia="黑体" w:cs="Times New Roman"/>
          <w:b/>
          <w:color w:val="auto"/>
          <w:kern w:val="2"/>
          <w:highlight w:val="none"/>
          <w:lang w:val="en-US" w:eastAsia="zh-CN"/>
        </w:rPr>
        <w:t>综述报告</w:t>
      </w:r>
    </w:p>
    <w:p>
      <w:pPr>
        <w:pStyle w:val="19"/>
        <w:widowControl w:val="0"/>
        <w:numPr>
          <w:ilvl w:val="0"/>
          <w:numId w:val="0"/>
        </w:numPr>
        <w:spacing w:line="360" w:lineRule="auto"/>
        <w:ind w:firstLine="482" w:firstLineChars="200"/>
        <w:jc w:val="both"/>
        <w:rPr>
          <w:rFonts w:hint="default" w:ascii="宋体" w:hAnsi="宋体" w:eastAsia="宋体" w:cs="宋体"/>
          <w:b/>
          <w:bCs w:val="0"/>
          <w:color w:val="auto"/>
          <w:kern w:val="2"/>
          <w:highlight w:val="none"/>
          <w:lang w:val="en-US" w:eastAsia="zh-CN"/>
        </w:rPr>
      </w:pPr>
      <w:r>
        <w:rPr>
          <w:rFonts w:hint="eastAsia" w:cs="宋体"/>
          <w:b/>
          <w:bCs w:val="0"/>
          <w:color w:val="auto"/>
          <w:kern w:val="2"/>
          <w:highlight w:val="none"/>
          <w:lang w:val="en-US" w:eastAsia="zh-CN"/>
        </w:rPr>
        <w:t>1军曹鱼日投喂量</w:t>
      </w:r>
    </w:p>
    <w:p>
      <w:pPr>
        <w:bidi w:val="0"/>
        <w:spacing w:line="360" w:lineRule="auto"/>
        <w:ind w:firstLine="480" w:firstLineChars="200"/>
        <w:rPr>
          <w:rFonts w:hint="eastAsia"/>
          <w:color w:val="auto"/>
          <w:highlight w:val="none"/>
          <w:lang w:val="en-US" w:eastAsia="zh-CN"/>
        </w:rPr>
      </w:pPr>
      <w:r>
        <w:rPr>
          <w:rFonts w:hint="eastAsia"/>
          <w:color w:val="auto"/>
          <w:highlight w:val="none"/>
          <w:lang w:val="en-US" w:eastAsia="zh-CN"/>
        </w:rPr>
        <w:t>军曹鱼无鳔，必须不断地游动以保持身体平衡状态，体力消耗比有鳔鱼类多，摄食量大，且不耐饥饿。在目前已知的养殖鱼类中，军曹鱼是生长速度最快的一种鱼，在适宜的环境条件下，半年可以长至3.5kg，周年可达（6～8)kg,体长达（80～90）cm。区又君等在《卵形鲳鲹 花鲈 军曹鱼 黄鳍鲷 美国红鱼 高效生态养殖新技术》中P90提到，日投喂量为10%左右。目前，有关军曹鱼养殖标准有两个：广东省地方标准和</w:t>
      </w:r>
      <w:r>
        <w:rPr>
          <w:rFonts w:hint="eastAsia" w:cs="宋体"/>
          <w:color w:val="auto"/>
          <w:sz w:val="24"/>
          <w:szCs w:val="24"/>
          <w:highlight w:val="none"/>
          <w:lang w:val="en-US" w:eastAsia="zh-CN"/>
        </w:rPr>
        <w:t>海南省地方标准。</w:t>
      </w:r>
      <w:r>
        <w:rPr>
          <w:rFonts w:hint="eastAsia"/>
          <w:color w:val="auto"/>
          <w:highlight w:val="none"/>
          <w:lang w:val="en-US" w:eastAsia="zh-CN"/>
        </w:rPr>
        <w:t>广东省地方标准</w:t>
      </w:r>
      <w:r>
        <w:rPr>
          <w:rFonts w:hint="default"/>
          <w:color w:val="auto"/>
          <w:highlight w:val="none"/>
          <w:lang w:val="en-US" w:eastAsia="zh-CN"/>
        </w:rPr>
        <w:t>DB44/T 2380—2022</w:t>
      </w:r>
      <w:r>
        <w:rPr>
          <w:rFonts w:hint="eastAsia"/>
          <w:color w:val="auto"/>
          <w:highlight w:val="none"/>
          <w:lang w:val="en-US" w:eastAsia="zh-CN"/>
        </w:rPr>
        <w:t>军曹鱼网箱养殖技术规范7.2.1中提到在鱼苗投放后即可投喂新鲜小杂鱼。投饵量以鱼抢食停止为准，正常情况下日投喂量宜为鱼体重的4%～6%，</w:t>
      </w:r>
      <w:r>
        <w:rPr>
          <w:rFonts w:hint="eastAsia"/>
          <w:color w:val="auto"/>
          <w:highlight w:val="none"/>
        </w:rPr>
        <w:t>鱼类的饱食率控制在</w:t>
      </w:r>
      <w:r>
        <w:rPr>
          <w:rFonts w:hint="default"/>
          <w:color w:val="auto"/>
          <w:highlight w:val="none"/>
        </w:rPr>
        <w:t>70%</w:t>
      </w:r>
      <w:r>
        <w:rPr>
          <w:rFonts w:hint="eastAsia"/>
          <w:color w:val="auto"/>
          <w:highlight w:val="none"/>
        </w:rPr>
        <w:t>～</w:t>
      </w:r>
      <w:r>
        <w:rPr>
          <w:rFonts w:hint="default"/>
          <w:color w:val="auto"/>
          <w:highlight w:val="none"/>
        </w:rPr>
        <w:t>80%</w:t>
      </w:r>
      <w:r>
        <w:rPr>
          <w:rFonts w:hint="eastAsia"/>
          <w:color w:val="auto"/>
          <w:highlight w:val="none"/>
        </w:rPr>
        <w:t>。</w:t>
      </w:r>
      <w:r>
        <w:rPr>
          <w:rFonts w:hint="eastAsia" w:cs="宋体"/>
          <w:color w:val="auto"/>
          <w:sz w:val="24"/>
          <w:szCs w:val="24"/>
          <w:highlight w:val="none"/>
          <w:lang w:val="en-US" w:eastAsia="zh-CN"/>
        </w:rPr>
        <w:t>海南省地方标准</w:t>
      </w:r>
      <w:r>
        <w:rPr>
          <w:rFonts w:hint="default" w:cs="宋体"/>
          <w:color w:val="auto"/>
          <w:sz w:val="24"/>
          <w:szCs w:val="24"/>
          <w:highlight w:val="none"/>
          <w:lang w:val="en-US" w:eastAsia="zh-CN"/>
        </w:rPr>
        <w:t>DB46/T 170—2009</w:t>
      </w:r>
      <w:r>
        <w:rPr>
          <w:rFonts w:hint="eastAsia" w:cs="宋体"/>
          <w:color w:val="auto"/>
          <w:sz w:val="24"/>
          <w:szCs w:val="24"/>
          <w:highlight w:val="none"/>
          <w:lang w:val="en-US" w:eastAsia="zh-CN"/>
        </w:rPr>
        <w:t>军曹鱼深水网箱养殖技术规程7.1.2.1中提到：</w:t>
      </w:r>
      <w:r>
        <w:rPr>
          <w:rFonts w:hint="eastAsia"/>
          <w:color w:val="auto"/>
          <w:highlight w:val="none"/>
        </w:rPr>
        <w:t>投饵量以鱼抢食停止为准</w:t>
      </w:r>
      <w:r>
        <w:rPr>
          <w:rFonts w:hint="eastAsia"/>
          <w:color w:val="auto"/>
          <w:highlight w:val="none"/>
          <w:lang w:eastAsia="zh-CN"/>
        </w:rPr>
        <w:t>，</w:t>
      </w:r>
      <w:r>
        <w:rPr>
          <w:rFonts w:hint="eastAsia"/>
          <w:color w:val="auto"/>
          <w:highlight w:val="none"/>
        </w:rPr>
        <w:t>正常情况下日投喂量为鱼体重的</w:t>
      </w:r>
      <w:r>
        <w:rPr>
          <w:rFonts w:hint="default"/>
          <w:color w:val="auto"/>
          <w:highlight w:val="none"/>
        </w:rPr>
        <w:t>4</w:t>
      </w:r>
      <w:r>
        <w:rPr>
          <w:rFonts w:hint="eastAsia"/>
          <w:color w:val="auto"/>
          <w:highlight w:val="none"/>
        </w:rPr>
        <w:t>％～</w:t>
      </w:r>
      <w:r>
        <w:rPr>
          <w:rFonts w:hint="default"/>
          <w:color w:val="auto"/>
          <w:highlight w:val="none"/>
        </w:rPr>
        <w:t>6</w:t>
      </w:r>
      <w:r>
        <w:rPr>
          <w:rFonts w:hint="eastAsia"/>
          <w:color w:val="auto"/>
          <w:highlight w:val="none"/>
        </w:rPr>
        <w:t>％，鱼类的饱食率控制在</w:t>
      </w:r>
      <w:r>
        <w:rPr>
          <w:rFonts w:hint="default"/>
          <w:color w:val="auto"/>
          <w:highlight w:val="none"/>
        </w:rPr>
        <w:t>70%</w:t>
      </w:r>
      <w:r>
        <w:rPr>
          <w:rFonts w:hint="eastAsia"/>
          <w:color w:val="auto"/>
          <w:highlight w:val="none"/>
        </w:rPr>
        <w:t>～</w:t>
      </w:r>
      <w:r>
        <w:rPr>
          <w:rFonts w:hint="default"/>
          <w:color w:val="auto"/>
          <w:highlight w:val="none"/>
        </w:rPr>
        <w:t>80%</w:t>
      </w:r>
      <w:r>
        <w:rPr>
          <w:rFonts w:hint="eastAsia"/>
          <w:color w:val="auto"/>
          <w:highlight w:val="none"/>
        </w:rPr>
        <w:t>。</w:t>
      </w:r>
      <w:r>
        <w:rPr>
          <w:rFonts w:hint="eastAsia"/>
          <w:color w:val="auto"/>
          <w:highlight w:val="none"/>
          <w:lang w:val="en-US" w:eastAsia="zh-CN"/>
        </w:rPr>
        <w:t>从这两个标准内容可以看出，广东地方标准参考了海南地方标准，但未明确是什么类型饲料。郭泽雄于2002年在科学养鱼杂志上发表的《近海浮绳式网箱养殖军曹鱼技术要点》一文中明确提到：小杂鱼饵料日投喂量为鱼体重的10%。也可用人工配合饲料，日投喂量为鱼体重的</w:t>
      </w:r>
      <w:r>
        <w:rPr>
          <w:rFonts w:hint="default"/>
          <w:color w:val="auto"/>
          <w:highlight w:val="none"/>
        </w:rPr>
        <w:t>4</w:t>
      </w:r>
      <w:r>
        <w:rPr>
          <w:rFonts w:hint="eastAsia"/>
          <w:color w:val="auto"/>
          <w:highlight w:val="none"/>
        </w:rPr>
        <w:t>％～</w:t>
      </w:r>
      <w:r>
        <w:rPr>
          <w:rFonts w:hint="default"/>
          <w:color w:val="auto"/>
          <w:highlight w:val="none"/>
        </w:rPr>
        <w:t>6</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文中鱼种投放规格为（0.7～0.75）kg/尾。</w:t>
      </w:r>
    </w:p>
    <w:p>
      <w:pPr>
        <w:bidi w:val="0"/>
        <w:spacing w:line="360" w:lineRule="auto"/>
        <w:ind w:firstLine="480" w:firstLineChars="200"/>
        <w:rPr>
          <w:rFonts w:hint="default"/>
          <w:color w:val="auto"/>
          <w:highlight w:val="none"/>
          <w:lang w:val="en-US" w:eastAsia="zh-CN"/>
        </w:rPr>
      </w:pPr>
      <w:r>
        <w:rPr>
          <w:rFonts w:hint="eastAsia"/>
          <w:color w:val="auto"/>
          <w:highlight w:val="none"/>
          <w:lang w:val="en-US" w:eastAsia="zh-CN"/>
        </w:rPr>
        <w:t>养殖一线技术人员也认可小杂鱼饵料日投喂量为鱼体重的10%、人工配合饲料日投喂量为鱼体重的</w:t>
      </w:r>
      <w:r>
        <w:rPr>
          <w:rFonts w:hint="default"/>
          <w:color w:val="auto"/>
          <w:highlight w:val="none"/>
        </w:rPr>
        <w:t>4</w:t>
      </w:r>
      <w:r>
        <w:rPr>
          <w:rFonts w:hint="eastAsia"/>
          <w:color w:val="auto"/>
          <w:highlight w:val="none"/>
        </w:rPr>
        <w:t>％～</w:t>
      </w:r>
      <w:r>
        <w:rPr>
          <w:rFonts w:hint="default"/>
          <w:color w:val="auto"/>
          <w:highlight w:val="none"/>
        </w:rPr>
        <w:t>6</w:t>
      </w:r>
      <w:r>
        <w:rPr>
          <w:rFonts w:hint="eastAsia"/>
          <w:color w:val="auto"/>
          <w:highlight w:val="none"/>
        </w:rPr>
        <w:t>％</w:t>
      </w:r>
      <w:r>
        <w:rPr>
          <w:rFonts w:hint="eastAsia"/>
          <w:color w:val="auto"/>
          <w:highlight w:val="none"/>
          <w:lang w:val="en-US" w:eastAsia="zh-CN"/>
        </w:rPr>
        <w:t>的观点，标准数据有很好的实用性与重现性。</w:t>
      </w:r>
    </w:p>
    <w:p>
      <w:pPr>
        <w:pStyle w:val="19"/>
        <w:widowControl w:val="0"/>
        <w:numPr>
          <w:ilvl w:val="0"/>
          <w:numId w:val="0"/>
        </w:numPr>
        <w:spacing w:line="360" w:lineRule="auto"/>
        <w:jc w:val="both"/>
        <w:rPr>
          <w:rFonts w:cs="Times New Roman"/>
          <w:b/>
          <w:bCs/>
          <w:color w:val="auto"/>
          <w:highlight w:val="none"/>
        </w:rPr>
      </w:pPr>
      <w:r>
        <w:rPr>
          <w:rFonts w:hint="eastAsia" w:cs="Times New Roman"/>
          <w:b/>
          <w:bCs/>
          <w:color w:val="auto"/>
          <w:highlight w:val="none"/>
          <w:lang w:eastAsia="zh-CN"/>
        </w:rPr>
        <w:t>（</w:t>
      </w:r>
      <w:r>
        <w:rPr>
          <w:rFonts w:hint="eastAsia" w:cs="Times New Roman"/>
          <w:b/>
          <w:bCs/>
          <w:color w:val="auto"/>
          <w:highlight w:val="none"/>
          <w:lang w:val="en-US" w:eastAsia="zh-CN"/>
        </w:rPr>
        <w:t>二）</w:t>
      </w:r>
      <w:r>
        <w:rPr>
          <w:rFonts w:cs="Times New Roman"/>
          <w:b/>
          <w:bCs/>
          <w:color w:val="auto"/>
          <w:highlight w:val="none"/>
        </w:rPr>
        <w:t>技术经济论证</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80" w:firstLineChars="200"/>
        <w:jc w:val="both"/>
        <w:rPr>
          <w:rFonts w:hint="default" w:cs="宋体"/>
          <w:color w:val="auto"/>
          <w:sz w:val="24"/>
          <w:szCs w:val="24"/>
          <w:highlight w:val="none"/>
          <w:lang w:eastAsia="zh-CN"/>
        </w:rPr>
      </w:pPr>
      <w:r>
        <w:rPr>
          <w:rFonts w:hint="default" w:cs="宋体"/>
          <w:color w:val="auto"/>
          <w:sz w:val="24"/>
          <w:szCs w:val="24"/>
          <w:highlight w:val="none"/>
          <w:lang w:eastAsia="zh-CN"/>
        </w:rPr>
        <w:t>本标准根据</w:t>
      </w:r>
      <w:r>
        <w:rPr>
          <w:rFonts w:hint="eastAsia" w:cs="宋体"/>
          <w:color w:val="auto"/>
          <w:sz w:val="24"/>
          <w:szCs w:val="24"/>
          <w:highlight w:val="none"/>
          <w:lang w:val="en-US" w:eastAsia="zh-CN"/>
        </w:rPr>
        <w:t>广东省</w:t>
      </w:r>
      <w:r>
        <w:rPr>
          <w:rFonts w:hint="default" w:cs="宋体"/>
          <w:color w:val="auto"/>
          <w:sz w:val="24"/>
          <w:szCs w:val="24"/>
          <w:highlight w:val="none"/>
          <w:lang w:eastAsia="zh-CN"/>
        </w:rPr>
        <w:t>地方标准编制指南</w:t>
      </w:r>
      <w:r>
        <w:rPr>
          <w:rFonts w:hint="eastAsia" w:cs="宋体"/>
          <w:color w:val="auto"/>
          <w:sz w:val="24"/>
          <w:szCs w:val="24"/>
          <w:highlight w:val="none"/>
          <w:lang w:eastAsia="zh-CN"/>
        </w:rPr>
        <w:t>（</w:t>
      </w:r>
      <w:r>
        <w:rPr>
          <w:rFonts w:hint="default" w:cs="宋体"/>
          <w:color w:val="auto"/>
          <w:sz w:val="24"/>
          <w:szCs w:val="24"/>
          <w:highlight w:val="none"/>
          <w:lang w:eastAsia="zh-CN"/>
        </w:rPr>
        <w:t>DB44</w:t>
      </w:r>
      <w:r>
        <w:rPr>
          <w:rFonts w:hint="eastAsia" w:cs="宋体"/>
          <w:color w:val="auto"/>
          <w:sz w:val="24"/>
          <w:szCs w:val="24"/>
          <w:highlight w:val="none"/>
          <w:lang w:val="en-US" w:eastAsia="zh-CN"/>
        </w:rPr>
        <w:t>/</w:t>
      </w:r>
      <w:r>
        <w:rPr>
          <w:rFonts w:hint="default" w:cs="宋体"/>
          <w:color w:val="auto"/>
          <w:sz w:val="24"/>
          <w:szCs w:val="24"/>
          <w:highlight w:val="none"/>
          <w:lang w:eastAsia="zh-CN"/>
        </w:rPr>
        <w:t>T</w:t>
      </w:r>
      <w:r>
        <w:rPr>
          <w:rFonts w:hint="eastAsia" w:cs="宋体"/>
          <w:color w:val="auto"/>
          <w:sz w:val="24"/>
          <w:szCs w:val="24"/>
          <w:highlight w:val="none"/>
          <w:lang w:val="en-US" w:eastAsia="zh-CN"/>
        </w:rPr>
        <w:t xml:space="preserve"> </w:t>
      </w:r>
      <w:r>
        <w:rPr>
          <w:rFonts w:hint="default" w:cs="宋体"/>
          <w:color w:val="auto"/>
          <w:sz w:val="24"/>
          <w:szCs w:val="24"/>
          <w:highlight w:val="none"/>
          <w:lang w:eastAsia="zh-CN"/>
        </w:rPr>
        <w:t>2461-2024</w:t>
      </w:r>
      <w:r>
        <w:rPr>
          <w:rFonts w:hint="eastAsia" w:cs="宋体"/>
          <w:color w:val="auto"/>
          <w:sz w:val="24"/>
          <w:szCs w:val="24"/>
          <w:highlight w:val="none"/>
          <w:lang w:eastAsia="zh-CN"/>
        </w:rPr>
        <w:t>），</w:t>
      </w:r>
      <w:r>
        <w:rPr>
          <w:rFonts w:hint="default" w:cs="宋体"/>
          <w:color w:val="auto"/>
          <w:sz w:val="24"/>
          <w:szCs w:val="24"/>
          <w:highlight w:val="none"/>
          <w:lang w:eastAsia="zh-CN"/>
        </w:rPr>
        <w:t>按照技术上先进、经济上合理的要求编制而成。本标准的规范性技术要素为</w:t>
      </w:r>
      <w:r>
        <w:rPr>
          <w:rFonts w:hint="eastAsia" w:cs="宋体"/>
          <w:color w:val="auto"/>
          <w:sz w:val="24"/>
          <w:szCs w:val="24"/>
          <w:highlight w:val="none"/>
          <w:lang w:eastAsia="zh-CN"/>
        </w:rPr>
        <w:t>：</w:t>
      </w:r>
      <w:r>
        <w:rPr>
          <w:rFonts w:hint="eastAsia" w:hAnsi="宋体"/>
          <w:color w:val="auto"/>
          <w:highlight w:val="none"/>
        </w:rPr>
        <w:t>深远海</w:t>
      </w:r>
      <w:r>
        <w:rPr>
          <w:rFonts w:hint="eastAsia" w:hAnsi="宋体"/>
          <w:color w:val="auto"/>
          <w:highlight w:val="none"/>
          <w:lang w:val="en-US" w:eastAsia="zh-CN"/>
        </w:rPr>
        <w:t>平台</w:t>
      </w:r>
      <w:r>
        <w:rPr>
          <w:rFonts w:hint="eastAsia" w:hAnsi="宋体"/>
          <w:color w:val="auto"/>
          <w:highlight w:val="none"/>
        </w:rPr>
        <w:t>养殖海区选择、</w:t>
      </w:r>
      <w:r>
        <w:rPr>
          <w:rFonts w:hint="eastAsia"/>
          <w:color w:val="auto"/>
          <w:highlight w:val="none"/>
          <w:lang w:val="en-US" w:eastAsia="zh-CN"/>
        </w:rPr>
        <w:t>养殖平台设施、</w:t>
      </w:r>
      <w:r>
        <w:rPr>
          <w:rFonts w:hint="eastAsia" w:hAnsi="宋体"/>
          <w:color w:val="auto"/>
          <w:highlight w:val="none"/>
        </w:rPr>
        <w:t>鱼</w:t>
      </w:r>
      <w:r>
        <w:rPr>
          <w:rFonts w:hint="eastAsia"/>
          <w:color w:val="auto"/>
          <w:highlight w:val="none"/>
        </w:rPr>
        <w:t>种</w:t>
      </w:r>
      <w:r>
        <w:rPr>
          <w:rFonts w:hint="eastAsia" w:hAnsi="宋体"/>
          <w:color w:val="auto"/>
          <w:highlight w:val="none"/>
        </w:rPr>
        <w:t>放养、</w:t>
      </w:r>
      <w:r>
        <w:rPr>
          <w:rFonts w:hint="eastAsia" w:hAnsi="宋体"/>
          <w:color w:val="auto"/>
          <w:highlight w:val="none"/>
          <w:lang w:val="en-US" w:eastAsia="zh-CN"/>
        </w:rPr>
        <w:t>饲养与</w:t>
      </w:r>
      <w:r>
        <w:rPr>
          <w:rFonts w:hint="eastAsia" w:hAnsi="宋体"/>
          <w:color w:val="auto"/>
          <w:highlight w:val="none"/>
        </w:rPr>
        <w:t>管理、</w:t>
      </w:r>
      <w:r>
        <w:rPr>
          <w:rFonts w:hint="eastAsia" w:hAnsi="宋体"/>
          <w:color w:val="auto"/>
          <w:highlight w:val="none"/>
          <w:lang w:val="en-US" w:eastAsia="zh-CN"/>
        </w:rPr>
        <w:t>病害防控、</w:t>
      </w:r>
      <w:r>
        <w:rPr>
          <w:rFonts w:hint="eastAsia"/>
          <w:color w:val="auto"/>
          <w:highlight w:val="none"/>
        </w:rPr>
        <w:t>收获</w:t>
      </w:r>
      <w:r>
        <w:rPr>
          <w:rFonts w:hint="eastAsia"/>
          <w:color w:val="auto"/>
          <w:highlight w:val="none"/>
          <w:lang w:eastAsia="zh-CN"/>
        </w:rPr>
        <w:t>、</w:t>
      </w:r>
      <w:r>
        <w:rPr>
          <w:rFonts w:hint="eastAsia" w:hAnsi="宋体"/>
          <w:color w:val="auto"/>
          <w:highlight w:val="none"/>
        </w:rPr>
        <w:t>记录和档案管理</w:t>
      </w:r>
      <w:r>
        <w:rPr>
          <w:rFonts w:hint="eastAsia" w:cs="宋体"/>
          <w:color w:val="auto"/>
          <w:sz w:val="24"/>
          <w:szCs w:val="24"/>
          <w:highlight w:val="none"/>
          <w:lang w:eastAsia="zh-CN"/>
        </w:rPr>
        <w:t>。</w:t>
      </w:r>
      <w:r>
        <w:rPr>
          <w:rFonts w:hint="default" w:cs="宋体"/>
          <w:color w:val="auto"/>
          <w:sz w:val="24"/>
          <w:szCs w:val="24"/>
          <w:highlight w:val="none"/>
          <w:lang w:eastAsia="zh-CN"/>
        </w:rPr>
        <w:t>确定技术指标时，首先保证适合</w:t>
      </w:r>
      <w:r>
        <w:rPr>
          <w:rFonts w:hint="eastAsia" w:cs="宋体"/>
          <w:color w:val="auto"/>
          <w:sz w:val="24"/>
          <w:szCs w:val="24"/>
          <w:highlight w:val="none"/>
          <w:lang w:val="en-US" w:eastAsia="zh-CN"/>
        </w:rPr>
        <w:t>湛江地区情况</w:t>
      </w:r>
      <w:r>
        <w:rPr>
          <w:rFonts w:hint="default" w:cs="宋体"/>
          <w:color w:val="auto"/>
          <w:sz w:val="24"/>
          <w:szCs w:val="24"/>
          <w:highlight w:val="none"/>
          <w:lang w:eastAsia="zh-CN"/>
        </w:rPr>
        <w:t>的前提下，</w:t>
      </w:r>
      <w:r>
        <w:rPr>
          <w:rFonts w:hint="eastAsia" w:cs="宋体"/>
          <w:color w:val="auto"/>
          <w:sz w:val="24"/>
          <w:szCs w:val="24"/>
          <w:highlight w:val="none"/>
          <w:lang w:eastAsia="zh-CN"/>
        </w:rPr>
        <w:t>充分</w:t>
      </w:r>
      <w:r>
        <w:rPr>
          <w:rFonts w:hint="default" w:cs="宋体"/>
          <w:color w:val="auto"/>
          <w:sz w:val="24"/>
          <w:szCs w:val="24"/>
          <w:highlight w:val="none"/>
          <w:lang w:eastAsia="zh-CN"/>
        </w:rPr>
        <w:t>考虑</w:t>
      </w:r>
      <w:r>
        <w:rPr>
          <w:rFonts w:hint="eastAsia" w:cs="宋体"/>
          <w:color w:val="auto"/>
          <w:sz w:val="24"/>
          <w:szCs w:val="24"/>
          <w:highlight w:val="none"/>
          <w:lang w:val="en-US" w:eastAsia="zh-CN"/>
        </w:rPr>
        <w:t>湛江</w:t>
      </w:r>
      <w:r>
        <w:rPr>
          <w:rFonts w:hint="default" w:cs="宋体"/>
          <w:color w:val="auto"/>
          <w:sz w:val="24"/>
          <w:szCs w:val="24"/>
          <w:highlight w:val="none"/>
          <w:lang w:eastAsia="zh-CN"/>
        </w:rPr>
        <w:t>在</w:t>
      </w:r>
      <w:r>
        <w:rPr>
          <w:rFonts w:hint="eastAsia" w:cs="宋体"/>
          <w:color w:val="auto"/>
          <w:sz w:val="24"/>
          <w:szCs w:val="24"/>
          <w:highlight w:val="none"/>
          <w:lang w:val="en-US" w:eastAsia="zh-CN"/>
        </w:rPr>
        <w:t>军曹鱼养殖</w:t>
      </w:r>
      <w:r>
        <w:rPr>
          <w:rFonts w:hint="eastAsia" w:cs="宋体"/>
          <w:color w:val="auto"/>
          <w:sz w:val="24"/>
          <w:szCs w:val="24"/>
          <w:highlight w:val="none"/>
          <w:lang w:eastAsia="zh-CN"/>
        </w:rPr>
        <w:t>生产</w:t>
      </w:r>
      <w:r>
        <w:rPr>
          <w:rFonts w:hint="default" w:cs="宋体"/>
          <w:color w:val="auto"/>
          <w:sz w:val="24"/>
          <w:szCs w:val="24"/>
          <w:highlight w:val="none"/>
          <w:lang w:eastAsia="zh-CN"/>
        </w:rPr>
        <w:t>方面的实践经验和产业现状，在生产可行性和经济合理性的基础上，尽可能融入最新的技术</w:t>
      </w:r>
      <w:r>
        <w:rPr>
          <w:rFonts w:hint="eastAsia" w:cs="宋体"/>
          <w:color w:val="auto"/>
          <w:sz w:val="24"/>
          <w:szCs w:val="24"/>
          <w:highlight w:val="none"/>
          <w:lang w:eastAsia="zh-CN"/>
        </w:rPr>
        <w:t>成果</w:t>
      </w:r>
      <w:r>
        <w:rPr>
          <w:rFonts w:hint="default" w:cs="宋体"/>
          <w:color w:val="auto"/>
          <w:sz w:val="24"/>
          <w:szCs w:val="24"/>
          <w:highlight w:val="none"/>
          <w:lang w:eastAsia="zh-CN"/>
        </w:rPr>
        <w:t>，既符合目前</w:t>
      </w:r>
      <w:r>
        <w:rPr>
          <w:rFonts w:hint="eastAsia" w:cs="宋体"/>
          <w:color w:val="auto"/>
          <w:sz w:val="24"/>
          <w:szCs w:val="24"/>
          <w:highlight w:val="none"/>
          <w:lang w:val="en-US" w:eastAsia="zh-CN"/>
        </w:rPr>
        <w:t>湛江军曹鱼</w:t>
      </w:r>
      <w:r>
        <w:rPr>
          <w:rFonts w:hint="eastAsia" w:cs="宋体"/>
          <w:color w:val="auto"/>
          <w:sz w:val="24"/>
          <w:szCs w:val="24"/>
          <w:highlight w:val="none"/>
          <w:lang w:eastAsia="zh-CN"/>
        </w:rPr>
        <w:t>产业</w:t>
      </w:r>
      <w:r>
        <w:rPr>
          <w:rFonts w:hint="default" w:cs="宋体"/>
          <w:color w:val="auto"/>
          <w:sz w:val="24"/>
          <w:szCs w:val="24"/>
          <w:highlight w:val="none"/>
          <w:lang w:eastAsia="zh-CN"/>
        </w:rPr>
        <w:t>的实际情况，也符合未来一定时间内的发展趋势，既具有可操作性，便于生产单位使用，又具有前瞻性，促进产业优化升级</w:t>
      </w:r>
      <w:r>
        <w:rPr>
          <w:rFonts w:hint="eastAsia" w:cs="宋体"/>
          <w:color w:val="auto"/>
          <w:sz w:val="24"/>
          <w:szCs w:val="24"/>
          <w:highlight w:val="none"/>
          <w:lang w:eastAsia="zh-CN"/>
        </w:rPr>
        <w:t>，</w:t>
      </w:r>
      <w:r>
        <w:rPr>
          <w:rFonts w:hint="default" w:cs="宋体"/>
          <w:color w:val="auto"/>
          <w:sz w:val="24"/>
          <w:szCs w:val="24"/>
          <w:highlight w:val="none"/>
          <w:lang w:eastAsia="zh-CN"/>
        </w:rPr>
        <w:t>切实发挥</w:t>
      </w:r>
      <w:r>
        <w:rPr>
          <w:rFonts w:hint="eastAsia" w:cs="宋体"/>
          <w:color w:val="auto"/>
          <w:sz w:val="24"/>
          <w:szCs w:val="24"/>
          <w:highlight w:val="none"/>
          <w:lang w:eastAsia="zh-CN"/>
        </w:rPr>
        <w:t>其</w:t>
      </w:r>
      <w:r>
        <w:rPr>
          <w:rFonts w:hint="default" w:cs="宋体"/>
          <w:color w:val="auto"/>
          <w:sz w:val="24"/>
          <w:szCs w:val="24"/>
          <w:highlight w:val="none"/>
          <w:lang w:eastAsia="zh-CN"/>
        </w:rPr>
        <w:t>规范和引领产业发展的作用。</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80" w:firstLineChars="200"/>
        <w:jc w:val="both"/>
        <w:rPr>
          <w:rFonts w:hint="default" w:cs="宋体"/>
          <w:color w:val="auto"/>
          <w:sz w:val="24"/>
          <w:szCs w:val="24"/>
          <w:highlight w:val="none"/>
          <w:lang w:val="en-US" w:eastAsia="zh-CN"/>
        </w:rPr>
      </w:pPr>
      <w:r>
        <w:rPr>
          <w:rFonts w:hint="eastAsia" w:cs="宋体"/>
          <w:color w:val="auto"/>
          <w:sz w:val="24"/>
          <w:szCs w:val="24"/>
          <w:highlight w:val="none"/>
          <w:lang w:val="en-US" w:eastAsia="zh-CN"/>
        </w:rPr>
        <w:t>本标准采用抗风浪能力更强的养殖平台进行军曹鱼的养殖，不仅为军曹鱼的生长提供更为优良的养殖环境、为饲养操作者提供了安全的工作环境，又避免了台风天气下养殖空间被大幅压缩从而导致养殖密度骤升的风险。</w:t>
      </w:r>
    </w:p>
    <w:p>
      <w:pPr>
        <w:pStyle w:val="19"/>
        <w:numPr>
          <w:ilvl w:val="0"/>
          <w:numId w:val="0"/>
        </w:numPr>
        <w:spacing w:line="360" w:lineRule="auto"/>
        <w:rPr>
          <w:rFonts w:hint="eastAsia" w:cs="Times New Roman"/>
          <w:b/>
          <w:bCs/>
          <w:color w:val="auto"/>
          <w:highlight w:val="none"/>
        </w:rPr>
      </w:pPr>
      <w:r>
        <w:rPr>
          <w:rFonts w:hint="eastAsia" w:cs="Times New Roman"/>
          <w:b/>
          <w:bCs/>
          <w:color w:val="auto"/>
          <w:highlight w:val="none"/>
          <w:lang w:eastAsia="zh-CN"/>
        </w:rPr>
        <w:t>（</w:t>
      </w:r>
      <w:r>
        <w:rPr>
          <w:rFonts w:hint="eastAsia" w:cs="Times New Roman"/>
          <w:b/>
          <w:bCs/>
          <w:color w:val="auto"/>
          <w:highlight w:val="none"/>
          <w:lang w:val="en-US" w:eastAsia="zh-CN"/>
        </w:rPr>
        <w:t>三）</w:t>
      </w:r>
      <w:r>
        <w:rPr>
          <w:rFonts w:cs="Times New Roman"/>
          <w:b/>
          <w:bCs/>
          <w:color w:val="auto"/>
          <w:highlight w:val="none"/>
        </w:rPr>
        <w:t>预测经济效益</w:t>
      </w:r>
      <w:r>
        <w:rPr>
          <w:rFonts w:hint="eastAsia" w:cs="Times New Roman"/>
          <w:b/>
          <w:bCs/>
          <w:color w:val="auto"/>
          <w:highlight w:val="none"/>
        </w:rPr>
        <w:t>、社会效益和生态效益</w:t>
      </w:r>
    </w:p>
    <w:p>
      <w:pPr>
        <w:widowControl w:val="0"/>
        <w:spacing w:line="360" w:lineRule="auto"/>
        <w:ind w:firstLine="480" w:firstLineChars="200"/>
        <w:jc w:val="both"/>
        <w:rPr>
          <w:rFonts w:ascii="Times New Roman" w:hAnsi="Times New Roman" w:cs="Times New Roman"/>
          <w:color w:val="auto"/>
          <w:highlight w:val="none"/>
        </w:rPr>
      </w:pPr>
      <w:r>
        <w:rPr>
          <w:rFonts w:ascii="Times New Roman" w:hAnsi="Times New Roman" w:cs="Times New Roman"/>
          <w:color w:val="auto"/>
          <w:highlight w:val="none"/>
        </w:rPr>
        <w:t>作为我国重要的</w:t>
      </w:r>
      <w:r>
        <w:rPr>
          <w:rFonts w:hint="eastAsia" w:ascii="Times New Roman" w:hAnsi="Times New Roman" w:cs="Times New Roman"/>
          <w:color w:val="auto"/>
          <w:highlight w:val="none"/>
          <w:lang w:val="en-US" w:eastAsia="zh-CN"/>
        </w:rPr>
        <w:t>海水鱼类</w:t>
      </w:r>
      <w:r>
        <w:rPr>
          <w:rFonts w:ascii="Times New Roman" w:hAnsi="Times New Roman" w:cs="Times New Roman"/>
          <w:color w:val="auto"/>
          <w:highlight w:val="none"/>
        </w:rPr>
        <w:t>，</w:t>
      </w:r>
      <w:r>
        <w:rPr>
          <w:rFonts w:hint="eastAsia" w:ascii="宋体" w:hAnsi="宋体" w:eastAsia="宋体" w:cs="宋体"/>
          <w:color w:val="auto"/>
          <w:sz w:val="24"/>
          <w:szCs w:val="24"/>
          <w:highlight w:val="none"/>
          <w:lang w:bidi="ar"/>
        </w:rPr>
        <w:t>通过放养大规格苗种，可以缩短养殖周期，能够降低养殖成本，养出大规格品质良好的成鱼，</w:t>
      </w:r>
      <w:r>
        <w:rPr>
          <w:rFonts w:ascii="Times New Roman" w:hAnsi="Times New Roman" w:cs="Times New Roman"/>
          <w:color w:val="auto"/>
          <w:highlight w:val="none"/>
        </w:rPr>
        <w:t>增加养殖收入，提高市场竞争力，</w:t>
      </w:r>
      <w:r>
        <w:rPr>
          <w:rFonts w:hint="eastAsia" w:ascii="宋体" w:hAnsi="宋体" w:eastAsia="宋体" w:cs="宋体"/>
          <w:color w:val="auto"/>
          <w:sz w:val="24"/>
          <w:szCs w:val="24"/>
          <w:highlight w:val="none"/>
          <w:lang w:bidi="ar"/>
        </w:rPr>
        <w:t>推动军曹鱼深远海养殖产业的发展</w:t>
      </w:r>
      <w:r>
        <w:rPr>
          <w:rFonts w:hint="eastAsia" w:cs="宋体"/>
          <w:color w:val="auto"/>
          <w:sz w:val="24"/>
          <w:szCs w:val="24"/>
          <w:highlight w:val="none"/>
          <w:lang w:eastAsia="zh-CN" w:bidi="ar"/>
        </w:rPr>
        <w:t>，</w:t>
      </w:r>
      <w:r>
        <w:rPr>
          <w:rFonts w:ascii="Times New Roman" w:hAnsi="Times New Roman" w:cs="Times New Roman"/>
          <w:color w:val="auto"/>
          <w:highlight w:val="none"/>
        </w:rPr>
        <w:t>将会取得良好的经济效益和社会效益。</w:t>
      </w:r>
    </w:p>
    <w:p>
      <w:pPr>
        <w:pStyle w:val="19"/>
        <w:widowControl w:val="0"/>
        <w:numPr>
          <w:ilvl w:val="0"/>
          <w:numId w:val="0"/>
        </w:numPr>
        <w:spacing w:before="156" w:beforeLines="50" w:after="156" w:afterLines="50" w:line="360" w:lineRule="auto"/>
        <w:ind w:leftChars="0"/>
        <w:jc w:val="both"/>
        <w:outlineLvl w:val="0"/>
        <w:rPr>
          <w:rFonts w:hint="eastAsia" w:ascii="宋体" w:hAnsi="宋体" w:eastAsia="宋体" w:cs="宋体"/>
          <w:b/>
          <w:color w:val="auto"/>
          <w:kern w:val="2"/>
          <w:highlight w:val="none"/>
        </w:rPr>
      </w:pPr>
      <w:r>
        <w:rPr>
          <w:rFonts w:hint="eastAsia" w:ascii="宋体" w:hAnsi="宋体" w:eastAsia="宋体" w:cs="宋体"/>
          <w:b/>
          <w:color w:val="auto"/>
          <w:kern w:val="2"/>
          <w:highlight w:val="none"/>
          <w:lang w:val="en-US" w:eastAsia="zh-CN"/>
        </w:rPr>
        <w:t xml:space="preserve">四 </w:t>
      </w:r>
      <w:r>
        <w:rPr>
          <w:rFonts w:hint="eastAsia" w:ascii="宋体" w:hAnsi="宋体" w:eastAsia="宋体" w:cs="宋体"/>
          <w:b/>
          <w:color w:val="auto"/>
          <w:kern w:val="2"/>
          <w:highlight w:val="none"/>
        </w:rPr>
        <w:t>与国际、国外同类标准技术内容的对比情况，或者与测试的国外样品、样机的有关数据对比情况</w:t>
      </w:r>
    </w:p>
    <w:p>
      <w:pPr>
        <w:widowControl w:val="0"/>
        <w:spacing w:line="360" w:lineRule="auto"/>
        <w:ind w:firstLine="480" w:firstLineChars="200"/>
        <w:jc w:val="both"/>
        <w:rPr>
          <w:rFonts w:ascii="Times New Roman" w:hAnsi="Times New Roman" w:cs="Times New Roman"/>
          <w:color w:val="auto"/>
          <w:highlight w:val="none"/>
        </w:rPr>
      </w:pPr>
      <w:r>
        <w:rPr>
          <w:rFonts w:ascii="Times New Roman" w:hAnsi="Times New Roman" w:cs="Times New Roman"/>
          <w:color w:val="auto"/>
          <w:highlight w:val="none"/>
        </w:rPr>
        <w:t>本标准未采用国际标准的内容。国外没有相同的标准，不便于进行比较。本标准在编制的过程中，参考了国内已发布的同类标准的样本。</w:t>
      </w:r>
    </w:p>
    <w:p>
      <w:pPr>
        <w:widowControl/>
        <w:spacing w:line="360" w:lineRule="auto"/>
        <w:ind w:firstLine="480" w:firstLineChars="200"/>
        <w:rPr>
          <w:rFonts w:hint="eastAsia" w:ascii="宋体" w:hAnsi="宋体" w:eastAsia="宋体" w:cs="宋体"/>
          <w:color w:val="auto"/>
          <w:sz w:val="24"/>
          <w:szCs w:val="24"/>
          <w:highlight w:val="none"/>
        </w:rPr>
      </w:pPr>
      <w:r>
        <w:rPr>
          <w:rFonts w:hint="eastAsia" w:ascii="Times New Roman" w:hAnsi="Times New Roman" w:cs="Times New Roman"/>
          <w:color w:val="auto"/>
          <w:highlight w:val="none"/>
          <w:lang w:val="en-US" w:eastAsia="zh-CN"/>
        </w:rPr>
        <w:t>本标准</w:t>
      </w:r>
      <w:r>
        <w:rPr>
          <w:rFonts w:hint="eastAsia" w:ascii="Times New Roman" w:hAnsi="Times New Roman" w:cs="Times New Roman"/>
          <w:color w:val="auto"/>
          <w:highlight w:val="none"/>
        </w:rPr>
        <w:t>与</w:t>
      </w:r>
      <w:r>
        <w:rPr>
          <w:rFonts w:hint="eastAsia" w:ascii="宋体" w:hAnsi="宋体" w:eastAsia="宋体" w:cs="宋体"/>
          <w:color w:val="auto"/>
          <w:sz w:val="24"/>
          <w:szCs w:val="24"/>
          <w:highlight w:val="none"/>
        </w:rPr>
        <w:t>其他的标准无知识产权方面的冲突，参考的标准会在文中注明引用出处，并没有违反相关法律法规。</w:t>
      </w:r>
      <w:r>
        <w:rPr>
          <w:rFonts w:hint="eastAsia" w:ascii="宋体" w:hAnsi="宋体" w:eastAsia="宋体" w:cs="宋体"/>
          <w:color w:val="auto"/>
          <w:kern w:val="0"/>
          <w:sz w:val="24"/>
          <w:szCs w:val="24"/>
          <w:highlight w:val="none"/>
          <w:lang w:bidi="ar"/>
        </w:rPr>
        <w:t>经过国家、行业、团体和地方标准目录有关数据库、知网、万方等数据库查找，在相关标准方面，只有</w:t>
      </w:r>
      <w:r>
        <w:rPr>
          <w:rFonts w:hint="eastAsia" w:ascii="宋体" w:hAnsi="宋体" w:eastAsia="宋体" w:cs="宋体"/>
          <w:color w:val="auto"/>
          <w:sz w:val="24"/>
          <w:szCs w:val="24"/>
          <w:highlight w:val="none"/>
        </w:rPr>
        <w:t>《军曹鱼配合饲料》</w:t>
      </w:r>
      <w:r>
        <w:rPr>
          <w:rFonts w:hint="eastAsia"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GB/T 22919.2-2008</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、《军曹鱼网箱养殖技术规范》</w:t>
      </w:r>
      <w:r>
        <w:rPr>
          <w:rFonts w:hint="eastAsia" w:cs="宋体"/>
          <w:color w:val="auto"/>
          <w:sz w:val="24"/>
          <w:szCs w:val="24"/>
          <w:highlight w:val="none"/>
          <w:lang w:eastAsia="zh-CN"/>
        </w:rPr>
        <w:t>（</w:t>
      </w:r>
      <w:r>
        <w:rPr>
          <w:rFonts w:hint="default" w:ascii="宋体" w:hAnsi="宋体" w:eastAsia="宋体" w:cs="宋体"/>
          <w:color w:val="auto"/>
          <w:kern w:val="0"/>
          <w:sz w:val="24"/>
          <w:szCs w:val="24"/>
          <w:highlight w:val="none"/>
          <w:lang w:val="en-US" w:eastAsia="zh-CN" w:bidi="ar-SA"/>
        </w:rPr>
        <w:t>DB44/T 2380—2022</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及《军曹鱼深水网箱养殖技术规程》</w:t>
      </w:r>
      <w:r>
        <w:rPr>
          <w:rFonts w:hint="eastAsia" w:cs="宋体"/>
          <w:color w:val="auto"/>
          <w:sz w:val="24"/>
          <w:szCs w:val="24"/>
          <w:highlight w:val="none"/>
          <w:lang w:eastAsia="zh-CN"/>
        </w:rPr>
        <w:t>（</w:t>
      </w:r>
      <w:r>
        <w:rPr>
          <w:rFonts w:hint="default" w:ascii="宋体" w:hAnsi="宋体" w:eastAsia="宋体" w:cs="宋体"/>
          <w:color w:val="auto"/>
          <w:kern w:val="0"/>
          <w:sz w:val="24"/>
          <w:szCs w:val="24"/>
          <w:highlight w:val="none"/>
          <w:lang w:val="en-US" w:eastAsia="zh-CN" w:bidi="ar-SA"/>
        </w:rPr>
        <w:t>DB46/T 170—2009</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，涉及饲料以及网箱养殖方面的标准。</w:t>
      </w:r>
      <w:r>
        <w:rPr>
          <w:rFonts w:hint="eastAsia" w:ascii="宋体" w:hAnsi="宋体" w:eastAsia="宋体" w:cs="宋体"/>
          <w:color w:val="auto"/>
          <w:kern w:val="0"/>
          <w:sz w:val="24"/>
          <w:szCs w:val="24"/>
          <w:highlight w:val="none"/>
          <w:lang w:bidi="ar"/>
        </w:rPr>
        <w:t>本单位协同参研单位计划制定的标准《</w:t>
      </w:r>
      <w:r>
        <w:rPr>
          <w:rFonts w:hint="eastAsia" w:ascii="宋体" w:hAnsi="宋体" w:eastAsia="宋体" w:cs="宋体"/>
          <w:color w:val="auto"/>
          <w:sz w:val="24"/>
          <w:szCs w:val="24"/>
          <w:highlight w:val="none"/>
        </w:rPr>
        <w:t>军曹鱼深远海平台养殖技术规程</w:t>
      </w:r>
      <w:r>
        <w:rPr>
          <w:rFonts w:hint="eastAsia" w:ascii="宋体" w:hAnsi="宋体" w:eastAsia="宋体" w:cs="宋体"/>
          <w:color w:val="auto"/>
          <w:kern w:val="0"/>
          <w:sz w:val="24"/>
          <w:szCs w:val="24"/>
          <w:highlight w:val="none"/>
          <w:lang w:bidi="ar"/>
        </w:rPr>
        <w:t>》提供一种养殖操作规程，规范军曹鱼深远海平台养殖。</w:t>
      </w:r>
      <w:r>
        <w:rPr>
          <w:rFonts w:hint="eastAsia" w:ascii="宋体" w:hAnsi="宋体" w:eastAsia="宋体" w:cs="宋体"/>
          <w:color w:val="auto"/>
          <w:sz w:val="24"/>
          <w:szCs w:val="24"/>
          <w:highlight w:val="none"/>
        </w:rPr>
        <w:t>拟参考引用的标准如下：</w:t>
      </w:r>
    </w:p>
    <w:p>
      <w:pPr>
        <w:pStyle w:val="36"/>
        <w:spacing w:line="360" w:lineRule="auto"/>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GB 11607 渔业水质标准</w:t>
      </w:r>
    </w:p>
    <w:p>
      <w:pPr>
        <w:pStyle w:val="36"/>
        <w:spacing w:line="360" w:lineRule="auto"/>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GB/T 22919.2-2008 水产配合饲料第2部分：军曹鱼配合饲料</w:t>
      </w:r>
    </w:p>
    <w:p>
      <w:pPr>
        <w:pStyle w:val="36"/>
        <w:spacing w:line="360" w:lineRule="auto"/>
        <w:ind w:firstLine="42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SC/T 1132 渔药使用规范</w:t>
      </w:r>
    </w:p>
    <w:p>
      <w:pPr>
        <w:pStyle w:val="36"/>
        <w:spacing w:line="360" w:lineRule="auto"/>
        <w:ind w:firstLine="420"/>
        <w:rPr>
          <w:rFonts w:hint="eastAsia" w:ascii="宋体" w:hAnsi="宋体" w:eastAsia="宋体" w:cs="宋体"/>
          <w:color w:val="auto"/>
          <w:kern w:val="0"/>
          <w:sz w:val="24"/>
          <w:szCs w:val="24"/>
          <w:highlight w:val="none"/>
          <w:lang w:val="en-US" w:eastAsia="zh-CN" w:bidi="ar-SA"/>
        </w:rPr>
      </w:pPr>
      <w:r>
        <w:rPr>
          <w:rFonts w:hint="default" w:ascii="宋体" w:hAnsi="宋体" w:eastAsia="宋体" w:cs="宋体"/>
          <w:color w:val="auto"/>
          <w:kern w:val="0"/>
          <w:sz w:val="24"/>
          <w:szCs w:val="24"/>
          <w:highlight w:val="none"/>
          <w:lang w:val="en-US" w:eastAsia="zh-CN" w:bidi="ar-SA"/>
        </w:rPr>
        <w:t>DB46/T 170—2009</w:t>
      </w:r>
      <w:r>
        <w:rPr>
          <w:rFonts w:hint="eastAsia" w:ascii="宋体" w:hAnsi="宋体" w:eastAsia="宋体" w:cs="宋体"/>
          <w:color w:val="auto"/>
          <w:kern w:val="0"/>
          <w:sz w:val="24"/>
          <w:szCs w:val="24"/>
          <w:highlight w:val="none"/>
          <w:lang w:val="en-US" w:eastAsia="zh-CN" w:bidi="ar-SA"/>
        </w:rPr>
        <w:t>军曹鱼深水网箱养殖技术规程</w:t>
      </w:r>
    </w:p>
    <w:p>
      <w:pPr>
        <w:pStyle w:val="36"/>
        <w:spacing w:line="360" w:lineRule="auto"/>
        <w:ind w:firstLine="420"/>
        <w:rPr>
          <w:rFonts w:hint="eastAsia" w:ascii="宋体" w:hAnsi="宋体" w:eastAsia="宋体" w:cs="宋体"/>
          <w:color w:val="auto"/>
          <w:kern w:val="0"/>
          <w:sz w:val="24"/>
          <w:szCs w:val="24"/>
          <w:highlight w:val="none"/>
          <w:lang w:val="en-US" w:eastAsia="zh-CN" w:bidi="ar-SA"/>
        </w:rPr>
      </w:pPr>
      <w:r>
        <w:rPr>
          <w:rFonts w:hint="default" w:ascii="宋体" w:hAnsi="宋体" w:eastAsia="宋体" w:cs="宋体"/>
          <w:color w:val="auto"/>
          <w:kern w:val="0"/>
          <w:sz w:val="24"/>
          <w:szCs w:val="24"/>
          <w:highlight w:val="none"/>
          <w:lang w:val="en-US" w:eastAsia="zh-CN" w:bidi="ar-SA"/>
        </w:rPr>
        <w:t>DB44/T 2380—2022</w:t>
      </w:r>
      <w:r>
        <w:rPr>
          <w:rFonts w:hint="eastAsia" w:ascii="宋体" w:hAnsi="宋体" w:eastAsia="宋体" w:cs="宋体"/>
          <w:color w:val="auto"/>
          <w:kern w:val="0"/>
          <w:sz w:val="24"/>
          <w:szCs w:val="24"/>
          <w:highlight w:val="none"/>
          <w:lang w:val="en-US" w:eastAsia="zh-CN" w:bidi="ar-SA"/>
        </w:rPr>
        <w:t>军曹鱼网箱养殖技术规范</w:t>
      </w:r>
    </w:p>
    <w:p>
      <w:pPr>
        <w:pStyle w:val="19"/>
        <w:widowControl w:val="0"/>
        <w:numPr>
          <w:ilvl w:val="0"/>
          <w:numId w:val="0"/>
        </w:numPr>
        <w:spacing w:before="156" w:beforeLines="50" w:after="156" w:afterLines="50" w:line="360" w:lineRule="auto"/>
        <w:ind w:leftChars="0"/>
        <w:jc w:val="both"/>
        <w:outlineLvl w:val="0"/>
        <w:rPr>
          <w:rFonts w:hint="eastAsia" w:ascii="宋体" w:hAnsi="宋体" w:eastAsia="宋体" w:cs="宋体"/>
          <w:b/>
          <w:bCs w:val="0"/>
          <w:color w:val="auto"/>
          <w:kern w:val="2"/>
          <w:highlight w:val="none"/>
        </w:rPr>
      </w:pPr>
      <w:r>
        <w:rPr>
          <w:rFonts w:hint="eastAsia" w:ascii="宋体" w:hAnsi="宋体" w:eastAsia="宋体" w:cs="宋体"/>
          <w:b/>
          <w:bCs w:val="0"/>
          <w:color w:val="auto"/>
          <w:kern w:val="2"/>
          <w:highlight w:val="none"/>
          <w:lang w:val="en-US" w:eastAsia="zh-CN"/>
        </w:rPr>
        <w:t xml:space="preserve">五 </w:t>
      </w:r>
      <w:r>
        <w:rPr>
          <w:rFonts w:hint="eastAsia" w:ascii="宋体" w:hAnsi="宋体" w:eastAsia="宋体" w:cs="宋体"/>
          <w:b/>
          <w:bCs w:val="0"/>
          <w:color w:val="auto"/>
          <w:kern w:val="2"/>
          <w:highlight w:val="none"/>
        </w:rPr>
        <w:t>以国际标准为基础的起草情况，以及是否合规引用或者采用国际国外标准，并说明未采用国际标准的原因</w:t>
      </w:r>
    </w:p>
    <w:p>
      <w:pPr>
        <w:widowControl w:val="0"/>
        <w:spacing w:line="360" w:lineRule="auto"/>
        <w:ind w:firstLine="480" w:firstLineChars="200"/>
        <w:jc w:val="both"/>
        <w:rPr>
          <w:rFonts w:ascii="Times New Roman" w:hAnsi="Times New Roman" w:cs="Times New Roman"/>
          <w:color w:val="auto"/>
          <w:highlight w:val="none"/>
        </w:rPr>
      </w:pPr>
      <w:r>
        <w:rPr>
          <w:rFonts w:hint="eastAsia" w:ascii="Times New Roman" w:hAnsi="Times New Roman" w:cs="Times New Roman"/>
          <w:color w:val="auto"/>
          <w:highlight w:val="none"/>
        </w:rPr>
        <w:t>本标准目前尚无相应的国际标准。</w:t>
      </w:r>
    </w:p>
    <w:p>
      <w:pPr>
        <w:pStyle w:val="19"/>
        <w:widowControl w:val="0"/>
        <w:numPr>
          <w:ilvl w:val="0"/>
          <w:numId w:val="0"/>
        </w:numPr>
        <w:spacing w:before="156" w:beforeLines="50" w:after="156" w:afterLines="50" w:line="360" w:lineRule="auto"/>
        <w:ind w:leftChars="0"/>
        <w:jc w:val="both"/>
        <w:outlineLvl w:val="0"/>
        <w:rPr>
          <w:rFonts w:hint="eastAsia" w:eastAsia="黑体" w:cs="Times New Roman"/>
          <w:b/>
          <w:color w:val="auto"/>
          <w:kern w:val="2"/>
          <w:highlight w:val="none"/>
        </w:rPr>
      </w:pPr>
      <w:r>
        <w:rPr>
          <w:rFonts w:hint="eastAsia" w:eastAsia="黑体" w:cs="Times New Roman"/>
          <w:b/>
          <w:color w:val="auto"/>
          <w:kern w:val="2"/>
          <w:highlight w:val="none"/>
          <w:lang w:val="en-US" w:eastAsia="zh-CN"/>
        </w:rPr>
        <w:t xml:space="preserve">六 </w:t>
      </w:r>
      <w:r>
        <w:rPr>
          <w:rFonts w:hint="eastAsia" w:eastAsia="黑体" w:cs="Times New Roman"/>
          <w:b/>
          <w:color w:val="auto"/>
          <w:kern w:val="2"/>
          <w:highlight w:val="none"/>
        </w:rPr>
        <w:t>与有关法律、行政法规及相关标准的关系</w:t>
      </w:r>
    </w:p>
    <w:p>
      <w:pPr>
        <w:pStyle w:val="19"/>
        <w:widowControl w:val="0"/>
        <w:numPr>
          <w:ilvl w:val="0"/>
          <w:numId w:val="0"/>
        </w:numPr>
        <w:spacing w:before="156" w:beforeLines="50" w:after="156" w:afterLines="50" w:line="360" w:lineRule="auto"/>
        <w:ind w:leftChars="0" w:firstLine="480" w:firstLineChars="200"/>
        <w:jc w:val="both"/>
        <w:outlineLvl w:val="0"/>
        <w:rPr>
          <w:rFonts w:hint="eastAsia" w:ascii="宋体" w:hAnsi="宋体" w:eastAsia="宋体" w:cs="宋体"/>
          <w:b w:val="0"/>
          <w:bCs/>
          <w:color w:val="auto"/>
          <w:kern w:val="2"/>
          <w:highlight w:val="none"/>
        </w:rPr>
      </w:pPr>
      <w:r>
        <w:rPr>
          <w:rFonts w:hint="eastAsia" w:ascii="宋体" w:hAnsi="宋体" w:eastAsia="宋体" w:cs="宋体"/>
          <w:b w:val="0"/>
          <w:bCs/>
          <w:color w:val="auto"/>
          <w:kern w:val="2"/>
          <w:highlight w:val="none"/>
        </w:rPr>
        <w:t>本标准编制过程中，参考了国家、行业、地方有关标准，与相关的现行法律、法规和强制性标准相协调，无冲突。</w:t>
      </w:r>
    </w:p>
    <w:p>
      <w:pPr>
        <w:pStyle w:val="19"/>
        <w:widowControl w:val="0"/>
        <w:numPr>
          <w:ilvl w:val="0"/>
          <w:numId w:val="0"/>
        </w:numPr>
        <w:spacing w:before="156" w:beforeLines="50" w:after="156" w:afterLines="50" w:line="360" w:lineRule="auto"/>
        <w:ind w:leftChars="0"/>
        <w:jc w:val="both"/>
        <w:outlineLvl w:val="0"/>
        <w:rPr>
          <w:rFonts w:hint="eastAsia" w:eastAsia="黑体" w:cs="Times New Roman"/>
          <w:b/>
          <w:color w:val="auto"/>
          <w:kern w:val="2"/>
          <w:highlight w:val="none"/>
        </w:rPr>
      </w:pPr>
      <w:r>
        <w:rPr>
          <w:rFonts w:hint="eastAsia" w:eastAsia="黑体" w:cs="Times New Roman"/>
          <w:b/>
          <w:color w:val="auto"/>
          <w:kern w:val="2"/>
          <w:highlight w:val="none"/>
          <w:lang w:val="en-US" w:eastAsia="zh-CN"/>
        </w:rPr>
        <w:t xml:space="preserve">七 </w:t>
      </w:r>
      <w:r>
        <w:rPr>
          <w:rFonts w:hint="eastAsia" w:eastAsia="黑体" w:cs="Times New Roman"/>
          <w:b/>
          <w:color w:val="auto"/>
          <w:kern w:val="2"/>
          <w:highlight w:val="none"/>
        </w:rPr>
        <w:t>重大分歧意见的处理经过和依据</w:t>
      </w:r>
    </w:p>
    <w:p>
      <w:pPr>
        <w:pStyle w:val="5"/>
        <w:adjustRightInd w:val="0"/>
        <w:snapToGrid w:val="0"/>
        <w:spacing w:before="240" w:line="360" w:lineRule="auto"/>
        <w:ind w:firstLine="480" w:firstLineChars="200"/>
        <w:rPr>
          <w:color w:val="auto"/>
          <w:kern w:val="2"/>
          <w:sz w:val="24"/>
          <w:szCs w:val="24"/>
          <w:highlight w:val="none"/>
        </w:rPr>
      </w:pPr>
      <w:r>
        <w:rPr>
          <w:color w:val="auto"/>
          <w:kern w:val="2"/>
          <w:sz w:val="24"/>
          <w:szCs w:val="24"/>
          <w:highlight w:val="none"/>
        </w:rPr>
        <w:t>本</w:t>
      </w:r>
      <w:r>
        <w:rPr>
          <w:rFonts w:hint="eastAsia"/>
          <w:color w:val="auto"/>
          <w:kern w:val="2"/>
          <w:sz w:val="24"/>
          <w:szCs w:val="24"/>
          <w:highlight w:val="none"/>
        </w:rPr>
        <w:t>文件</w:t>
      </w:r>
      <w:r>
        <w:rPr>
          <w:color w:val="auto"/>
          <w:kern w:val="2"/>
          <w:sz w:val="24"/>
          <w:szCs w:val="24"/>
          <w:highlight w:val="none"/>
        </w:rPr>
        <w:t>在</w:t>
      </w:r>
      <w:r>
        <w:rPr>
          <w:rFonts w:hint="eastAsia"/>
          <w:color w:val="auto"/>
          <w:kern w:val="2"/>
          <w:sz w:val="24"/>
          <w:szCs w:val="24"/>
          <w:highlight w:val="none"/>
          <w:lang w:val="en-US" w:eastAsia="zh-CN"/>
        </w:rPr>
        <w:t>起草</w:t>
      </w:r>
      <w:r>
        <w:rPr>
          <w:color w:val="auto"/>
          <w:kern w:val="2"/>
          <w:sz w:val="24"/>
          <w:szCs w:val="24"/>
          <w:highlight w:val="none"/>
        </w:rPr>
        <w:t>过程中广泛征求了来自科研、生产、管理等方面专家的意见，没有出现重大意见分歧。</w:t>
      </w:r>
      <w:r>
        <w:rPr>
          <w:rFonts w:hint="eastAsia"/>
          <w:color w:val="auto"/>
          <w:kern w:val="2"/>
          <w:sz w:val="24"/>
          <w:szCs w:val="24"/>
          <w:highlight w:val="none"/>
        </w:rPr>
        <w:t>经过多次研讨，会上均未出现重大分歧。</w:t>
      </w:r>
      <w:r>
        <w:rPr>
          <w:color w:val="auto"/>
          <w:kern w:val="2"/>
          <w:sz w:val="24"/>
          <w:szCs w:val="24"/>
          <w:highlight w:val="none"/>
        </w:rPr>
        <w:t>如果将来出现重大分歧意见，将根据</w:t>
      </w:r>
      <w:r>
        <w:rPr>
          <w:rFonts w:hint="eastAsia"/>
          <w:color w:val="auto"/>
          <w:kern w:val="2"/>
          <w:sz w:val="24"/>
          <w:szCs w:val="24"/>
          <w:highlight w:val="none"/>
          <w:lang w:val="en-US" w:eastAsia="zh-CN"/>
        </w:rPr>
        <w:t>湛江地区</w:t>
      </w:r>
      <w:r>
        <w:rPr>
          <w:color w:val="auto"/>
          <w:kern w:val="2"/>
          <w:sz w:val="24"/>
          <w:szCs w:val="24"/>
          <w:highlight w:val="none"/>
        </w:rPr>
        <w:t>实际情况，按照标准化工作的原则，协商解决。</w:t>
      </w:r>
    </w:p>
    <w:p>
      <w:pPr>
        <w:pStyle w:val="5"/>
        <w:adjustRightInd w:val="0"/>
        <w:snapToGrid w:val="0"/>
        <w:spacing w:before="240" w:line="360" w:lineRule="auto"/>
        <w:ind w:left="0" w:leftChars="0" w:firstLine="0" w:firstLineChars="0"/>
        <w:rPr>
          <w:rFonts w:hint="eastAsia" w:ascii="宋体" w:hAnsi="宋体" w:eastAsia="黑体" w:cs="Times New Roman"/>
          <w:b/>
          <w:color w:val="auto"/>
          <w:kern w:val="2"/>
          <w:sz w:val="24"/>
          <w:szCs w:val="24"/>
          <w:highlight w:val="none"/>
          <w:lang w:val="en-US" w:eastAsia="zh-CN" w:bidi="ar-SA"/>
        </w:rPr>
      </w:pPr>
      <w:r>
        <w:rPr>
          <w:rFonts w:hint="eastAsia" w:ascii="宋体" w:hAnsi="宋体" w:eastAsia="黑体" w:cs="Times New Roman"/>
          <w:b/>
          <w:color w:val="auto"/>
          <w:kern w:val="2"/>
          <w:sz w:val="24"/>
          <w:szCs w:val="24"/>
          <w:highlight w:val="none"/>
          <w:lang w:val="en-US" w:eastAsia="zh-CN" w:bidi="ar-SA"/>
        </w:rPr>
        <w:t>八 涉及专利的有关说明</w:t>
      </w:r>
    </w:p>
    <w:p>
      <w:pPr>
        <w:pStyle w:val="19"/>
        <w:widowControl w:val="0"/>
        <w:numPr>
          <w:ilvl w:val="0"/>
          <w:numId w:val="0"/>
        </w:numPr>
        <w:spacing w:before="156" w:beforeLines="50" w:after="156" w:afterLines="50" w:line="360" w:lineRule="auto"/>
        <w:ind w:leftChars="0"/>
        <w:jc w:val="both"/>
        <w:outlineLvl w:val="0"/>
        <w:rPr>
          <w:rFonts w:hint="default" w:eastAsia="黑体" w:cs="Times New Roman"/>
          <w:b/>
          <w:color w:val="auto"/>
          <w:kern w:val="2"/>
          <w:highlight w:val="none"/>
          <w:lang w:val="en-US" w:eastAsia="zh-CN"/>
        </w:rPr>
      </w:pPr>
      <w:r>
        <w:rPr>
          <w:rFonts w:hint="eastAsia" w:eastAsia="黑体" w:cs="Times New Roman"/>
          <w:b/>
          <w:color w:val="auto"/>
          <w:kern w:val="2"/>
          <w:highlight w:val="none"/>
          <w:lang w:val="en-US" w:eastAsia="zh-CN"/>
        </w:rPr>
        <w:t xml:space="preserve">    </w:t>
      </w:r>
      <w:r>
        <w:rPr>
          <w:rFonts w:hint="eastAsia" w:ascii="宋体" w:hAnsi="宋体" w:eastAsia="宋体" w:cs="宋体"/>
          <w:b w:val="0"/>
          <w:bCs/>
          <w:color w:val="auto"/>
          <w:kern w:val="2"/>
          <w:highlight w:val="none"/>
          <w:lang w:val="en-US" w:eastAsia="zh-CN"/>
        </w:rPr>
        <w:t>按照</w:t>
      </w:r>
      <w:r>
        <w:rPr>
          <w:rFonts w:hint="eastAsia" w:cs="宋体"/>
          <w:b w:val="0"/>
          <w:bCs/>
          <w:color w:val="auto"/>
          <w:kern w:val="2"/>
          <w:highlight w:val="none"/>
          <w:lang w:val="en-US" w:eastAsia="zh-CN"/>
        </w:rPr>
        <w:t>GB/T1.1-2020《标准化工作导则 第1部分：标准化文件的结构和起草规则》和GB/T 20003.1-2014《标准化制定的特殊程序 第1部分 涉及专利的标准》的规定，编制组在起草阶段，检索国家知识产权局网站，并对标准技术内容是否涉及专利进行了公开征集，在征求意见稿的封面上给出了征集必要专利的信息，</w:t>
      </w:r>
      <w:r>
        <w:rPr>
          <w:rFonts w:hint="eastAsia" w:cs="宋体"/>
          <w:b/>
          <w:bCs w:val="0"/>
          <w:color w:val="auto"/>
          <w:kern w:val="2"/>
          <w:highlight w:val="none"/>
          <w:lang w:val="en-US" w:eastAsia="zh-CN"/>
        </w:rPr>
        <w:t>至今尚未识别出</w:t>
      </w:r>
      <w:r>
        <w:rPr>
          <w:rFonts w:hint="eastAsia" w:cs="宋体"/>
          <w:b w:val="0"/>
          <w:bCs/>
          <w:color w:val="auto"/>
          <w:kern w:val="2"/>
          <w:highlight w:val="none"/>
          <w:lang w:val="en-US" w:eastAsia="zh-CN"/>
        </w:rPr>
        <w:t>标准的技术内容涉及相关专利。</w:t>
      </w:r>
    </w:p>
    <w:p>
      <w:pPr>
        <w:numPr>
          <w:ilvl w:val="0"/>
          <w:numId w:val="0"/>
        </w:numPr>
        <w:spacing w:line="360" w:lineRule="auto"/>
        <w:rPr>
          <w:rFonts w:hint="eastAsia" w:eastAsia="黑体" w:cs="Times New Roman"/>
          <w:b/>
          <w:color w:val="auto"/>
          <w:kern w:val="2"/>
          <w:highlight w:val="none"/>
        </w:rPr>
      </w:pPr>
      <w:r>
        <w:rPr>
          <w:rFonts w:hint="eastAsia" w:eastAsia="黑体" w:cs="Times New Roman"/>
          <w:b/>
          <w:color w:val="auto"/>
          <w:kern w:val="2"/>
          <w:highlight w:val="none"/>
          <w:lang w:val="en-US" w:eastAsia="zh-CN"/>
        </w:rPr>
        <w:t xml:space="preserve">九 </w:t>
      </w:r>
      <w:r>
        <w:rPr>
          <w:rFonts w:hint="eastAsia" w:eastAsia="黑体" w:cs="Times New Roman"/>
          <w:b/>
          <w:color w:val="auto"/>
          <w:kern w:val="2"/>
          <w:highlight w:val="none"/>
        </w:rPr>
        <w:t>实施国家标准的要求，以及组织措施、技术措施、过渡期和实施日期的建议等措施建议</w:t>
      </w:r>
    </w:p>
    <w:p>
      <w:pPr>
        <w:spacing w:before="156" w:beforeLines="50" w:line="360" w:lineRule="auto"/>
        <w:ind w:firstLine="480" w:firstLineChars="200"/>
        <w:rPr>
          <w:rFonts w:cs="宋体"/>
          <w:color w:val="auto"/>
          <w:sz w:val="24"/>
          <w:highlight w:val="none"/>
        </w:rPr>
      </w:pPr>
      <w:r>
        <w:rPr>
          <w:rFonts w:hint="eastAsia" w:cs="宋体"/>
          <w:color w:val="auto"/>
          <w:sz w:val="24"/>
          <w:highlight w:val="none"/>
          <w:lang w:val="en-US" w:eastAsia="zh-CN"/>
        </w:rPr>
        <w:t>1</w:t>
      </w:r>
      <w:r>
        <w:rPr>
          <w:rFonts w:hint="eastAsia" w:cs="宋体"/>
          <w:color w:val="auto"/>
          <w:sz w:val="24"/>
          <w:highlight w:val="none"/>
        </w:rPr>
        <w:t>成立标准宣贯实施小组：标准审批下发后，立即成立标准宣贯实施小组；小组成员应包括标准专家、技术顾问、培训师及相关部门负责人；编写标准宣贯实施方案，明确各成员职责、工作流程和时间节点。</w:t>
      </w:r>
    </w:p>
    <w:p>
      <w:pPr>
        <w:spacing w:line="360" w:lineRule="auto"/>
        <w:ind w:firstLine="480" w:firstLineChars="200"/>
        <w:rPr>
          <w:rFonts w:cs="宋体"/>
          <w:color w:val="auto"/>
          <w:sz w:val="24"/>
          <w:highlight w:val="none"/>
        </w:rPr>
      </w:pPr>
      <w:r>
        <w:rPr>
          <w:rFonts w:hint="eastAsia" w:cs="宋体"/>
          <w:color w:val="auto"/>
          <w:sz w:val="24"/>
          <w:highlight w:val="none"/>
        </w:rPr>
        <w:t>2制定宣贯方案并开展培训：标准宣贯实施小组根据标准宣贯计划及实际情况制定详细的宣贯方案；与相关单位合作，可采用多种形式开展宣贯活动：</w:t>
      </w:r>
    </w:p>
    <w:p>
      <w:pPr>
        <w:spacing w:line="360" w:lineRule="auto"/>
        <w:ind w:firstLine="480" w:firstLineChars="200"/>
        <w:rPr>
          <w:rFonts w:cs="宋体"/>
          <w:color w:val="auto"/>
          <w:sz w:val="24"/>
          <w:highlight w:val="none"/>
        </w:rPr>
      </w:pPr>
      <w:r>
        <w:rPr>
          <w:rFonts w:hint="eastAsia" w:cs="宋体"/>
          <w:color w:val="auto"/>
          <w:sz w:val="24"/>
          <w:highlight w:val="none"/>
        </w:rPr>
        <w:t>技术讲座：邀请专家进行专题讲座，详细解读标准内容；</w:t>
      </w:r>
    </w:p>
    <w:p>
      <w:pPr>
        <w:spacing w:line="360" w:lineRule="auto"/>
        <w:ind w:firstLine="480" w:firstLineChars="200"/>
        <w:rPr>
          <w:rFonts w:cs="宋体"/>
          <w:color w:val="auto"/>
          <w:sz w:val="24"/>
          <w:highlight w:val="none"/>
        </w:rPr>
      </w:pPr>
      <w:r>
        <w:rPr>
          <w:rFonts w:hint="eastAsia" w:cs="宋体"/>
          <w:color w:val="auto"/>
          <w:sz w:val="24"/>
          <w:highlight w:val="none"/>
        </w:rPr>
        <w:t>标准答疑：组织标准答疑会，解答各单位在标准实施过程中遇到的问题；</w:t>
      </w:r>
    </w:p>
    <w:p>
      <w:pPr>
        <w:spacing w:line="360" w:lineRule="auto"/>
        <w:ind w:firstLine="480" w:firstLineChars="200"/>
        <w:rPr>
          <w:rFonts w:cs="宋体"/>
          <w:color w:val="auto"/>
          <w:sz w:val="24"/>
          <w:highlight w:val="none"/>
        </w:rPr>
      </w:pPr>
      <w:r>
        <w:rPr>
          <w:rFonts w:hint="eastAsia" w:cs="宋体"/>
          <w:color w:val="auto"/>
          <w:sz w:val="24"/>
          <w:highlight w:val="none"/>
        </w:rPr>
        <w:t>线上视频教学：利用视频会议平台，开展线上培训，确保覆盖面广、参与度高；</w:t>
      </w:r>
    </w:p>
    <w:p>
      <w:pPr>
        <w:spacing w:line="360" w:lineRule="auto"/>
        <w:ind w:firstLine="480" w:firstLineChars="200"/>
        <w:rPr>
          <w:rFonts w:cs="宋体"/>
          <w:color w:val="auto"/>
          <w:sz w:val="24"/>
          <w:highlight w:val="none"/>
        </w:rPr>
      </w:pPr>
      <w:r>
        <w:rPr>
          <w:rFonts w:hint="eastAsia" w:cs="宋体"/>
          <w:color w:val="auto"/>
          <w:sz w:val="24"/>
          <w:highlight w:val="none"/>
        </w:rPr>
        <w:t>宣贯活动应采取线下集中或线上视频教学相结合的方式，以满足不同单位的需求；每次宣贯活动后，保存培训记录，包括参与人员名单、培训内容、培训效果评估等。</w:t>
      </w:r>
    </w:p>
    <w:p>
      <w:pPr>
        <w:spacing w:line="360" w:lineRule="auto"/>
        <w:ind w:firstLine="480" w:firstLineChars="200"/>
        <w:rPr>
          <w:rFonts w:cs="宋体"/>
          <w:color w:val="auto"/>
          <w:sz w:val="24"/>
          <w:highlight w:val="none"/>
        </w:rPr>
      </w:pPr>
      <w:r>
        <w:rPr>
          <w:rFonts w:hint="eastAsia" w:cs="宋体"/>
          <w:color w:val="auto"/>
          <w:sz w:val="24"/>
          <w:highlight w:val="none"/>
        </w:rPr>
        <w:t>3落实标准要求：根据培训结果，各单位在实施标准的过程中，应严格落实标准的各项要求；制定具体的实施步骤和方法，确保标准要求在实际操作中得到全面贯彻。</w:t>
      </w:r>
    </w:p>
    <w:p>
      <w:pPr>
        <w:spacing w:line="360" w:lineRule="auto"/>
        <w:ind w:firstLine="480" w:firstLineChars="200"/>
        <w:rPr>
          <w:rFonts w:cs="宋体"/>
          <w:color w:val="auto"/>
          <w:sz w:val="24"/>
          <w:highlight w:val="none"/>
        </w:rPr>
      </w:pPr>
      <w:r>
        <w:rPr>
          <w:rFonts w:hint="eastAsia" w:cs="宋体"/>
          <w:color w:val="auto"/>
          <w:sz w:val="24"/>
          <w:highlight w:val="none"/>
        </w:rPr>
        <w:t>4检查与评价：标准宣贯实施小组应不定期对各单位的标准实施情况进行检查与评价；检查内容包括但不限于：标准的执行情况、实施效果、存在的问题和改进措施；对发现的问题，及时进行分析并提出解决方案，确保问题得到有效解决；记录检查与评价结果，形成报告，并在适当范围内进行通报和讨论。</w:t>
      </w:r>
    </w:p>
    <w:p>
      <w:pPr>
        <w:spacing w:line="360" w:lineRule="auto"/>
        <w:ind w:firstLine="480" w:firstLineChars="200"/>
        <w:rPr>
          <w:rFonts w:hint="eastAsia" w:eastAsia="宋体" w:cs="宋体"/>
          <w:color w:val="auto"/>
          <w:sz w:val="24"/>
          <w:highlight w:val="none"/>
          <w:lang w:val="en-US" w:eastAsia="zh-CN"/>
        </w:rPr>
      </w:pPr>
      <w:r>
        <w:rPr>
          <w:rFonts w:hint="eastAsia" w:cs="宋体"/>
          <w:color w:val="auto"/>
          <w:sz w:val="24"/>
          <w:highlight w:val="none"/>
        </w:rPr>
        <w:t>5、持续改进：根据检查与评价结果，针对标准实施中的不足之处，提出改进建议；定期组织各单位进行经验交流和反馈会，分享改进措施和成功案例；逐步完善标准实施方案，确保标准在各单位的实施过程中不断优化和提升。建议过渡期为6个月</w:t>
      </w:r>
      <w:r>
        <w:rPr>
          <w:rFonts w:hint="eastAsia" w:cs="宋体"/>
          <w:color w:val="auto"/>
          <w:sz w:val="24"/>
          <w:highlight w:val="none"/>
          <w:lang w:eastAsia="zh-CN"/>
        </w:rPr>
        <w:t>。</w:t>
      </w:r>
    </w:p>
    <w:p>
      <w:pPr>
        <w:pStyle w:val="19"/>
        <w:widowControl w:val="0"/>
        <w:numPr>
          <w:ilvl w:val="0"/>
          <w:numId w:val="0"/>
        </w:numPr>
        <w:spacing w:before="156" w:beforeLines="50" w:after="156" w:afterLines="50" w:line="360" w:lineRule="auto"/>
        <w:ind w:leftChars="0"/>
        <w:jc w:val="both"/>
        <w:outlineLvl w:val="0"/>
        <w:rPr>
          <w:rFonts w:eastAsia="黑体" w:cs="Times New Roman"/>
          <w:b/>
          <w:color w:val="auto"/>
          <w:kern w:val="2"/>
          <w:highlight w:val="none"/>
        </w:rPr>
      </w:pPr>
      <w:r>
        <w:rPr>
          <w:rFonts w:hint="eastAsia" w:eastAsia="黑体" w:cs="Times New Roman"/>
          <w:b/>
          <w:color w:val="auto"/>
          <w:kern w:val="2"/>
          <w:highlight w:val="none"/>
          <w:lang w:val="en-US" w:eastAsia="zh-CN"/>
        </w:rPr>
        <w:t xml:space="preserve">十 </w:t>
      </w:r>
      <w:r>
        <w:rPr>
          <w:rFonts w:hint="eastAsia" w:eastAsia="黑体" w:cs="Times New Roman"/>
          <w:b/>
          <w:color w:val="auto"/>
          <w:kern w:val="2"/>
          <w:highlight w:val="none"/>
        </w:rPr>
        <w:t>其他应当说明的事项</w:t>
      </w:r>
      <w:r>
        <w:rPr>
          <w:rFonts w:eastAsia="黑体" w:cs="Times New Roman"/>
          <w:b/>
          <w:color w:val="auto"/>
          <w:kern w:val="2"/>
          <w:highlight w:val="none"/>
        </w:rPr>
        <w:t xml:space="preserve"> </w:t>
      </w:r>
    </w:p>
    <w:p>
      <w:pPr>
        <w:widowControl w:val="0"/>
        <w:spacing w:line="360" w:lineRule="auto"/>
        <w:ind w:firstLine="480" w:firstLineChars="200"/>
        <w:jc w:val="both"/>
        <w:rPr>
          <w:rFonts w:ascii="Times New Roman" w:hAnsi="Times New Roman" w:cs="Times New Roman"/>
          <w:color w:val="auto"/>
          <w:highlight w:val="none"/>
        </w:rPr>
      </w:pPr>
      <w:r>
        <w:rPr>
          <w:rFonts w:ascii="Times New Roman" w:hAnsi="Times New Roman" w:cs="Times New Roman"/>
          <w:color w:val="auto"/>
          <w:highlight w:val="none"/>
        </w:rPr>
        <w:t xml:space="preserve">无。 </w:t>
      </w:r>
    </w:p>
    <w:p>
      <w:pPr>
        <w:widowControl w:val="0"/>
        <w:spacing w:line="460" w:lineRule="exact"/>
        <w:ind w:firstLine="480" w:firstLineChars="200"/>
        <w:rPr>
          <w:rFonts w:ascii="Times New Roman" w:hAnsi="Times New Roman" w:eastAsia="仿宋" w:cs="Times New Roman"/>
          <w:color w:val="auto"/>
          <w:highlight w:val="none"/>
        </w:rPr>
      </w:pPr>
    </w:p>
    <w:p>
      <w:pPr>
        <w:widowControl w:val="0"/>
        <w:spacing w:line="460" w:lineRule="exact"/>
        <w:ind w:firstLine="480" w:firstLineChars="200"/>
        <w:rPr>
          <w:rFonts w:ascii="Times New Roman" w:hAnsi="Times New Roman" w:eastAsia="仿宋" w:cs="Times New Roman"/>
          <w:color w:val="auto"/>
          <w:highlight w:val="none"/>
        </w:rPr>
      </w:pPr>
    </w:p>
    <w:p>
      <w:pPr>
        <w:widowControl w:val="0"/>
        <w:spacing w:line="460" w:lineRule="exact"/>
        <w:ind w:firstLine="480" w:firstLineChars="200"/>
        <w:rPr>
          <w:rFonts w:ascii="Times New Roman" w:hAnsi="Times New Roman" w:eastAsia="仿宋" w:cs="Times New Roman"/>
          <w:color w:val="auto"/>
          <w:highlight w:val="none"/>
        </w:rPr>
      </w:pPr>
    </w:p>
    <w:p>
      <w:pPr>
        <w:spacing w:line="360" w:lineRule="auto"/>
        <w:ind w:firstLine="523" w:firstLineChars="218"/>
        <w:jc w:val="center"/>
        <w:rPr>
          <w:rFonts w:hint="eastAsia" w:eastAsia="宋体"/>
          <w:color w:val="auto"/>
          <w:highlight w:val="none"/>
          <w:lang w:eastAsia="zh-CN"/>
        </w:rPr>
      </w:pPr>
      <w:r>
        <w:rPr>
          <w:rFonts w:hint="eastAsia"/>
          <w:color w:val="auto"/>
          <w:highlight w:val="none"/>
          <w:lang w:val="en-US" w:eastAsia="zh-CN"/>
        </w:rPr>
        <w:t xml:space="preserve">                                </w:t>
      </w:r>
    </w:p>
    <w:p>
      <w:pPr>
        <w:spacing w:line="360" w:lineRule="auto"/>
        <w:ind w:firstLine="523" w:firstLineChars="218"/>
        <w:jc w:val="right"/>
        <w:rPr>
          <w:color w:val="auto"/>
          <w:highlight w:val="none"/>
        </w:rPr>
      </w:pPr>
      <w:r>
        <w:rPr>
          <w:rFonts w:hint="eastAsia"/>
          <w:color w:val="auto"/>
          <w:highlight w:val="none"/>
        </w:rPr>
        <w:t>《</w:t>
      </w:r>
      <w:r>
        <w:rPr>
          <w:rFonts w:hint="eastAsia"/>
          <w:color w:val="auto"/>
          <w:highlight w:val="none"/>
          <w:lang w:eastAsia="zh-CN"/>
        </w:rPr>
        <w:t>军曹鱼深远海平台养殖技术规程</w:t>
      </w:r>
      <w:r>
        <w:rPr>
          <w:rFonts w:hint="eastAsia"/>
          <w:color w:val="auto"/>
          <w:highlight w:val="none"/>
        </w:rPr>
        <w:t>》标准编制组</w:t>
      </w:r>
    </w:p>
    <w:p>
      <w:pPr>
        <w:spacing w:line="360" w:lineRule="auto"/>
        <w:ind w:firstLine="523" w:firstLineChars="218"/>
        <w:jc w:val="center"/>
        <w:rPr>
          <w:rFonts w:hint="default" w:eastAsia="宋体"/>
          <w:color w:val="auto"/>
          <w:highlight w:val="none"/>
          <w:lang w:val="en-US" w:eastAsia="zh-CN"/>
        </w:rPr>
        <w:sectPr>
          <w:footerReference r:id="rId3" w:type="default"/>
          <w:pgSz w:w="11906" w:h="16838"/>
          <w:pgMar w:top="1440" w:right="1134" w:bottom="1440" w:left="1417" w:header="851" w:footer="992" w:gutter="0"/>
          <w:pgNumType w:fmt="decimal" w:start="1"/>
          <w:cols w:space="425" w:num="1"/>
          <w:docGrid w:type="lines" w:linePitch="312" w:charSpace="0"/>
        </w:sectPr>
      </w:pPr>
      <w:r>
        <w:rPr>
          <w:rFonts w:hint="eastAsia"/>
          <w:color w:val="auto"/>
          <w:highlight w:val="none"/>
          <w:lang w:val="en-US" w:eastAsia="zh-CN"/>
        </w:rPr>
        <w:t xml:space="preserve">                           2025年6月</w:t>
      </w:r>
    </w:p>
    <w:p>
      <w:pPr>
        <w:widowControl w:val="0"/>
        <w:spacing w:line="460" w:lineRule="exact"/>
        <w:jc w:val="center"/>
        <w:rPr>
          <w:rFonts w:ascii="Times New Roman" w:hAnsi="Times New Roman" w:eastAsia="黑体" w:cs="Times New Roman"/>
          <w:color w:val="auto"/>
          <w:highlight w:val="none"/>
        </w:rPr>
      </w:pPr>
      <w:r>
        <w:rPr>
          <w:rFonts w:ascii="Times New Roman" w:hAnsi="Times New Roman" w:eastAsia="黑体" w:cs="Times New Roman"/>
          <w:color w:val="auto"/>
          <w:highlight w:val="none"/>
        </w:rPr>
        <w:t>参考文献</w:t>
      </w:r>
    </w:p>
    <w:p>
      <w:pPr>
        <w:spacing w:beforeLines="0" w:afterLines="0" w:line="360" w:lineRule="auto"/>
        <w:jc w:val="both"/>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cs="Times New Roman"/>
          <w:color w:val="auto"/>
          <w:kern w:val="0"/>
          <w:sz w:val="24"/>
          <w:szCs w:val="24"/>
          <w:highlight w:val="none"/>
          <w:lang w:val="en-US" w:eastAsia="zh-CN" w:bidi="ar-SA"/>
        </w:rPr>
        <w:t>1.</w:t>
      </w:r>
      <w:r>
        <w:rPr>
          <w:rFonts w:hint="eastAsia" w:ascii="Times New Roman" w:hAnsi="Times New Roman" w:eastAsia="宋体" w:cs="Times New Roman"/>
          <w:color w:val="auto"/>
          <w:kern w:val="0"/>
          <w:sz w:val="24"/>
          <w:szCs w:val="24"/>
          <w:highlight w:val="none"/>
          <w:lang w:val="en-US" w:eastAsia="zh-CN" w:bidi="ar-SA"/>
        </w:rPr>
        <w:t>GB/T 1.1—2020《标准化工作导则第1 部分：标准化文件的结构和起草规则》</w:t>
      </w:r>
    </w:p>
    <w:p>
      <w:pPr>
        <w:spacing w:beforeLines="0" w:afterLines="0" w:line="360" w:lineRule="auto"/>
        <w:jc w:val="both"/>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cs="Times New Roman"/>
          <w:color w:val="auto"/>
          <w:kern w:val="0"/>
          <w:sz w:val="24"/>
          <w:szCs w:val="24"/>
          <w:highlight w:val="none"/>
          <w:lang w:val="en-US" w:eastAsia="zh-CN" w:bidi="ar-SA"/>
        </w:rPr>
        <w:t>2.</w:t>
      </w:r>
      <w:r>
        <w:rPr>
          <w:rFonts w:hint="eastAsia" w:ascii="Times New Roman" w:hAnsi="Times New Roman" w:eastAsia="宋体" w:cs="Times New Roman"/>
          <w:color w:val="auto"/>
          <w:kern w:val="0"/>
          <w:sz w:val="24"/>
          <w:szCs w:val="24"/>
          <w:highlight w:val="none"/>
          <w:lang w:val="en-US" w:eastAsia="zh-CN" w:bidi="ar-SA"/>
        </w:rPr>
        <w:t>GB/T 20001.6—2017《标准编写规则第6 部分：规程标准》</w:t>
      </w:r>
    </w:p>
    <w:p>
      <w:pPr>
        <w:spacing w:beforeLines="0" w:afterLines="0" w:line="360" w:lineRule="auto"/>
        <w:jc w:val="both"/>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cs="Times New Roman"/>
          <w:color w:val="auto"/>
          <w:kern w:val="0"/>
          <w:sz w:val="24"/>
          <w:szCs w:val="24"/>
          <w:highlight w:val="none"/>
          <w:lang w:val="en-US" w:eastAsia="zh-CN" w:bidi="ar-SA"/>
        </w:rPr>
        <w:t>3.</w:t>
      </w:r>
      <w:r>
        <w:rPr>
          <w:rFonts w:hint="eastAsia" w:ascii="Times New Roman" w:hAnsi="Times New Roman" w:eastAsia="宋体" w:cs="Times New Roman"/>
          <w:color w:val="auto"/>
          <w:kern w:val="0"/>
          <w:sz w:val="24"/>
          <w:szCs w:val="24"/>
          <w:highlight w:val="none"/>
          <w:lang w:val="en-US" w:eastAsia="zh-CN" w:bidi="ar-SA"/>
        </w:rPr>
        <w:t>《中华人民共和国标准化法》</w:t>
      </w:r>
    </w:p>
    <w:p>
      <w:pPr>
        <w:widowControl w:val="0"/>
        <w:spacing w:line="360" w:lineRule="auto"/>
        <w:jc w:val="both"/>
        <w:rPr>
          <w:rFonts w:hint="default" w:cs="宋体"/>
          <w:color w:val="auto"/>
          <w:sz w:val="24"/>
          <w:szCs w:val="24"/>
          <w:highlight w:val="none"/>
          <w:lang w:eastAsia="zh-CN"/>
        </w:rPr>
      </w:pPr>
      <w:r>
        <w:rPr>
          <w:rFonts w:hint="eastAsia" w:cs="宋体"/>
          <w:color w:val="auto"/>
          <w:sz w:val="24"/>
          <w:szCs w:val="24"/>
          <w:highlight w:val="none"/>
          <w:lang w:val="en-US" w:eastAsia="zh-CN"/>
        </w:rPr>
        <w:t>4.</w:t>
      </w:r>
      <w:r>
        <w:rPr>
          <w:rFonts w:hint="default" w:cs="宋体"/>
          <w:color w:val="auto"/>
          <w:sz w:val="24"/>
          <w:szCs w:val="24"/>
          <w:highlight w:val="none"/>
          <w:lang w:eastAsia="zh-CN"/>
        </w:rPr>
        <w:t>DB44</w:t>
      </w:r>
      <w:r>
        <w:rPr>
          <w:rFonts w:hint="eastAsia" w:cs="宋体"/>
          <w:color w:val="auto"/>
          <w:sz w:val="24"/>
          <w:szCs w:val="24"/>
          <w:highlight w:val="none"/>
          <w:lang w:val="en-US" w:eastAsia="zh-CN"/>
        </w:rPr>
        <w:t>/</w:t>
      </w:r>
      <w:r>
        <w:rPr>
          <w:rFonts w:hint="default" w:cs="宋体"/>
          <w:color w:val="auto"/>
          <w:sz w:val="24"/>
          <w:szCs w:val="24"/>
          <w:highlight w:val="none"/>
          <w:lang w:eastAsia="zh-CN"/>
        </w:rPr>
        <w:t>T</w:t>
      </w:r>
      <w:r>
        <w:rPr>
          <w:rFonts w:hint="eastAsia" w:cs="宋体"/>
          <w:color w:val="auto"/>
          <w:sz w:val="24"/>
          <w:szCs w:val="24"/>
          <w:highlight w:val="none"/>
          <w:lang w:val="en-US" w:eastAsia="zh-CN"/>
        </w:rPr>
        <w:t xml:space="preserve"> </w:t>
      </w:r>
      <w:r>
        <w:rPr>
          <w:rFonts w:hint="default" w:cs="宋体"/>
          <w:color w:val="auto"/>
          <w:sz w:val="24"/>
          <w:szCs w:val="24"/>
          <w:highlight w:val="none"/>
          <w:lang w:eastAsia="zh-CN"/>
        </w:rPr>
        <w:t>2461-2024</w:t>
      </w:r>
      <w:r>
        <w:rPr>
          <w:rFonts w:hint="eastAsia" w:cs="宋体"/>
          <w:color w:val="auto"/>
          <w:sz w:val="24"/>
          <w:szCs w:val="24"/>
          <w:highlight w:val="none"/>
          <w:lang w:val="en-US" w:eastAsia="zh-CN"/>
        </w:rPr>
        <w:t xml:space="preserve"> </w:t>
      </w:r>
      <w:r>
        <w:rPr>
          <w:rFonts w:hint="default" w:cs="宋体"/>
          <w:color w:val="auto"/>
          <w:sz w:val="24"/>
          <w:szCs w:val="24"/>
          <w:highlight w:val="none"/>
          <w:lang w:eastAsia="zh-CN"/>
        </w:rPr>
        <w:t>地方标准编制指南</w:t>
      </w:r>
    </w:p>
    <w:p>
      <w:pPr>
        <w:widowControl w:val="0"/>
        <w:spacing w:line="460" w:lineRule="exact"/>
        <w:jc w:val="both"/>
        <w:rPr>
          <w:rFonts w:hint="eastAsia" w:cs="宋体"/>
          <w:color w:val="auto"/>
          <w:sz w:val="24"/>
          <w:szCs w:val="24"/>
          <w:highlight w:val="none"/>
          <w:lang w:eastAsia="zh-CN"/>
        </w:rPr>
      </w:pPr>
      <w:r>
        <w:rPr>
          <w:rFonts w:hint="eastAsia" w:cs="宋体"/>
          <w:color w:val="auto"/>
          <w:sz w:val="24"/>
          <w:szCs w:val="24"/>
          <w:highlight w:val="none"/>
          <w:lang w:val="en-US" w:eastAsia="zh-CN"/>
        </w:rPr>
        <w:t>5.</w:t>
      </w:r>
      <w:r>
        <w:rPr>
          <w:rFonts w:hint="eastAsia" w:cs="宋体"/>
          <w:color w:val="auto"/>
          <w:sz w:val="24"/>
          <w:szCs w:val="24"/>
          <w:highlight w:val="none"/>
          <w:lang w:eastAsia="zh-CN"/>
        </w:rPr>
        <w:t>地方标准管理办法（</w:t>
      </w:r>
      <w:r>
        <w:rPr>
          <w:rFonts w:hint="default" w:cs="宋体"/>
          <w:color w:val="auto"/>
          <w:sz w:val="24"/>
          <w:szCs w:val="24"/>
          <w:highlight w:val="none"/>
          <w:lang w:eastAsia="zh-CN"/>
        </w:rPr>
        <w:t>国家市场监督管理总局令第26号</w:t>
      </w:r>
      <w:r>
        <w:rPr>
          <w:rFonts w:hint="eastAsia" w:cs="宋体"/>
          <w:color w:val="auto"/>
          <w:sz w:val="24"/>
          <w:szCs w:val="24"/>
          <w:highlight w:val="none"/>
          <w:lang w:eastAsia="zh-CN"/>
        </w:rPr>
        <w:t>）</w:t>
      </w:r>
    </w:p>
    <w:p>
      <w:pPr>
        <w:widowControl w:val="0"/>
        <w:spacing w:line="460" w:lineRule="exact"/>
        <w:jc w:val="both"/>
        <w:rPr>
          <w:rFonts w:hint="default" w:cs="宋体"/>
          <w:color w:val="auto"/>
          <w:sz w:val="24"/>
          <w:szCs w:val="24"/>
          <w:highlight w:val="none"/>
          <w:lang w:eastAsia="zh-CN"/>
        </w:rPr>
      </w:pPr>
      <w:r>
        <w:rPr>
          <w:rFonts w:hint="eastAsia" w:cs="宋体"/>
          <w:color w:val="auto"/>
          <w:kern w:val="0"/>
          <w:sz w:val="24"/>
          <w:szCs w:val="22"/>
          <w:highlight w:val="none"/>
          <w:lang w:val="en-US" w:eastAsia="zh-CN" w:bidi="ar-SA"/>
        </w:rPr>
        <w:t>6.</w:t>
      </w:r>
      <w:r>
        <w:rPr>
          <w:rFonts w:hint="eastAsia" w:ascii="宋体" w:hAnsi="宋体" w:eastAsia="宋体" w:cs="宋体"/>
          <w:color w:val="auto"/>
          <w:kern w:val="0"/>
          <w:sz w:val="24"/>
          <w:szCs w:val="22"/>
          <w:highlight w:val="none"/>
          <w:lang w:val="en-US" w:eastAsia="zh-CN" w:bidi="ar-SA"/>
        </w:rPr>
        <w:t>《农业农村部等八部门关于加快推进深远海养殖发展的意见》（农渔发〔2023〕14号）</w:t>
      </w:r>
    </w:p>
    <w:p>
      <w:pPr>
        <w:widowControl w:val="0"/>
        <w:spacing w:line="460" w:lineRule="exact"/>
        <w:jc w:val="both"/>
        <w:rPr>
          <w:rFonts w:hint="default" w:cs="宋体"/>
          <w:color w:val="auto"/>
          <w:sz w:val="24"/>
          <w:szCs w:val="24"/>
          <w:highlight w:val="none"/>
          <w:lang w:val="en-US" w:eastAsia="zh-CN"/>
        </w:rPr>
      </w:pPr>
      <w:r>
        <w:rPr>
          <w:rFonts w:hint="eastAsia" w:cs="宋体"/>
          <w:color w:val="auto"/>
          <w:sz w:val="24"/>
          <w:szCs w:val="24"/>
          <w:highlight w:val="none"/>
          <w:lang w:val="en-US" w:eastAsia="zh-CN"/>
        </w:rPr>
        <w:t>7.刘兴旺，程成荣.军曹鱼海水网箱养殖技术</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w:t>
      </w:r>
      <w:r>
        <w:rPr>
          <w:rFonts w:hint="eastAsia" w:cs="宋体"/>
          <w:color w:val="auto"/>
          <w:sz w:val="24"/>
          <w:szCs w:val="24"/>
          <w:highlight w:val="none"/>
          <w:lang w:val="en-US" w:eastAsia="zh-CN"/>
        </w:rPr>
        <w:t>水产科技情报，2007，34（1）：20-22.</w:t>
      </w:r>
    </w:p>
    <w:p>
      <w:pPr>
        <w:widowControl w:val="0"/>
        <w:spacing w:line="460" w:lineRule="exact"/>
        <w:jc w:val="both"/>
        <w:rPr>
          <w:rFonts w:hint="eastAsia" w:cs="宋体"/>
          <w:color w:val="auto"/>
          <w:sz w:val="24"/>
          <w:szCs w:val="44"/>
          <w:highlight w:val="none"/>
          <w:lang w:val="en-US" w:eastAsia="zh-CN"/>
        </w:rPr>
      </w:pPr>
      <w:r>
        <w:rPr>
          <w:rFonts w:hint="eastAsia" w:cs="宋体"/>
          <w:color w:val="auto"/>
          <w:sz w:val="24"/>
          <w:szCs w:val="24"/>
          <w:highlight w:val="none"/>
          <w:lang w:val="en-US" w:eastAsia="zh-CN"/>
        </w:rPr>
        <w:t>8.王素霞.军曹鱼的生物学特性及人工繁殖</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.齐鲁渔业，2006，23（6）：40.</w:t>
      </w:r>
    </w:p>
    <w:p>
      <w:pPr>
        <w:widowControl w:val="0"/>
        <w:spacing w:line="460" w:lineRule="exact"/>
        <w:jc w:val="both"/>
        <w:rPr>
          <w:rFonts w:hint="default" w:cs="宋体"/>
          <w:color w:val="auto"/>
          <w:sz w:val="24"/>
          <w:szCs w:val="44"/>
          <w:highlight w:val="none"/>
          <w:lang w:val="en-US" w:eastAsia="zh-CN"/>
        </w:rPr>
      </w:pPr>
      <w:r>
        <w:rPr>
          <w:rFonts w:hint="eastAsia" w:cs="宋体"/>
          <w:color w:val="auto"/>
          <w:sz w:val="24"/>
          <w:szCs w:val="44"/>
          <w:highlight w:val="none"/>
          <w:lang w:val="en-US" w:eastAsia="zh-CN"/>
        </w:rPr>
        <w:t>9.</w:t>
      </w:r>
      <w:r>
        <w:rPr>
          <w:rFonts w:ascii="宋体" w:hAnsi="宋体" w:eastAsia="宋体" w:cs="宋体"/>
          <w:color w:val="auto"/>
          <w:sz w:val="24"/>
          <w:szCs w:val="24"/>
          <w:highlight w:val="none"/>
        </w:rPr>
        <w:t>王维政，曾泽乾，黄建盛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等.</w:t>
      </w:r>
      <w:r>
        <w:rPr>
          <w:rFonts w:ascii="宋体" w:hAnsi="宋体" w:eastAsia="宋体" w:cs="宋体"/>
          <w:color w:val="auto"/>
          <w:sz w:val="24"/>
          <w:szCs w:val="24"/>
          <w:highlight w:val="none"/>
        </w:rPr>
        <w:t>低氧胁迫对军曹鱼幼鱼抗氧化、免疫能力及能量代谢的影响</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.广东海洋大学学报，2020，40（5）：12-18.</w:t>
      </w:r>
    </w:p>
    <w:p>
      <w:pPr>
        <w:widowControl w:val="0"/>
        <w:spacing w:line="460" w:lineRule="exact"/>
        <w:jc w:val="both"/>
        <w:rPr>
          <w:rFonts w:hint="eastAsia" w:cs="宋体"/>
          <w:color w:val="auto"/>
          <w:sz w:val="24"/>
          <w:szCs w:val="44"/>
          <w:highlight w:val="none"/>
          <w:lang w:val="en-US" w:eastAsia="zh-CN"/>
        </w:rPr>
      </w:pP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王维政，曾泽乾，黄建盛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等.</w:t>
      </w:r>
      <w:r>
        <w:rPr>
          <w:rFonts w:ascii="宋体" w:hAnsi="宋体" w:eastAsia="宋体" w:cs="宋体"/>
          <w:color w:val="auto"/>
          <w:sz w:val="24"/>
          <w:szCs w:val="24"/>
          <w:highlight w:val="none"/>
        </w:rPr>
        <w:t>低氧胁迫对军曹鱼幼鱼生长、血清生化和非特异性免疫指标的影响</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.海洋学报，2021，43（2）：49-58.</w:t>
      </w:r>
    </w:p>
    <w:p>
      <w:pPr>
        <w:widowControl w:val="0"/>
        <w:spacing w:line="460" w:lineRule="exact"/>
        <w:jc w:val="both"/>
        <w:rPr>
          <w:rFonts w:hint="eastAsia" w:cs="宋体"/>
          <w:color w:val="auto"/>
          <w:sz w:val="24"/>
          <w:szCs w:val="24"/>
          <w:highlight w:val="none"/>
          <w:lang w:val="en-US" w:eastAsia="zh-CN"/>
        </w:rPr>
      </w:pPr>
      <w:r>
        <w:rPr>
          <w:rFonts w:hint="eastAsia" w:cs="宋体"/>
          <w:color w:val="auto"/>
          <w:sz w:val="24"/>
          <w:szCs w:val="44"/>
          <w:highlight w:val="none"/>
          <w:lang w:val="en-US" w:eastAsia="zh-CN"/>
        </w:rPr>
        <w:t>11.</w:t>
      </w:r>
      <w:r>
        <w:rPr>
          <w:rFonts w:hint="default" w:ascii="宋体" w:hAnsi="宋体" w:eastAsia="宋体" w:cs="宋体"/>
          <w:color w:val="auto"/>
          <w:sz w:val="24"/>
          <w:szCs w:val="24"/>
          <w:highlight w:val="none"/>
          <w:lang w:val="en-US" w:eastAsia="zh-CN"/>
        </w:rPr>
        <w:t>姜志强,</w:t>
      </w:r>
      <w:r>
        <w:rPr>
          <w:rFonts w:hint="eastAsia" w:cs="宋体"/>
          <w:color w:val="auto"/>
          <w:sz w:val="24"/>
          <w:szCs w:val="24"/>
          <w:highlight w:val="none"/>
          <w:lang w:val="en-US" w:eastAsia="zh-CN"/>
        </w:rPr>
        <w:t>吴立新，郝拉娣，等.</w:t>
      </w:r>
      <w:r>
        <w:rPr>
          <w:rFonts w:hint="default" w:ascii="宋体" w:hAnsi="宋体" w:eastAsia="宋体" w:cs="宋体"/>
          <w:color w:val="auto"/>
          <w:sz w:val="24"/>
          <w:szCs w:val="24"/>
          <w:highlight w:val="none"/>
          <w:lang w:val="en-US" w:eastAsia="zh-CN"/>
        </w:rPr>
        <w:t>海水养殖鱼类生物学及养殖</w:t>
      </w:r>
      <w:r>
        <w:rPr>
          <w:rFonts w:hint="eastAsia" w:ascii="宋体" w:hAnsi="宋体" w:eastAsia="宋体" w:cs="宋体"/>
          <w:color w:val="auto"/>
          <w:sz w:val="24"/>
          <w:szCs w:val="44"/>
          <w:highlight w:val="none"/>
        </w:rPr>
        <w:t>[</w:t>
      </w:r>
      <w:r>
        <w:rPr>
          <w:rFonts w:hint="eastAsia" w:cs="宋体"/>
          <w:color w:val="auto"/>
          <w:sz w:val="24"/>
          <w:szCs w:val="44"/>
          <w:highlight w:val="none"/>
          <w:lang w:val="en-US" w:eastAsia="zh-CN"/>
        </w:rPr>
        <w:t>M</w:t>
      </w:r>
      <w:r>
        <w:rPr>
          <w:rFonts w:hint="eastAsia" w:ascii="宋体" w:hAnsi="宋体" w:eastAsia="宋体" w:cs="宋体"/>
          <w:color w:val="auto"/>
          <w:sz w:val="24"/>
          <w:szCs w:val="44"/>
          <w:highlight w:val="none"/>
        </w:rPr>
        <w:t>]</w:t>
      </w:r>
      <w:r>
        <w:rPr>
          <w:rFonts w:hint="eastAsia" w:cs="宋体"/>
          <w:color w:val="auto"/>
          <w:sz w:val="24"/>
          <w:szCs w:val="44"/>
          <w:highlight w:val="none"/>
          <w:lang w:val="en-US" w:eastAsia="zh-CN"/>
        </w:rPr>
        <w:t>.</w:t>
      </w:r>
      <w:r>
        <w:rPr>
          <w:rFonts w:hint="eastAsia" w:cs="宋体"/>
          <w:color w:val="auto"/>
          <w:sz w:val="24"/>
          <w:szCs w:val="24"/>
          <w:highlight w:val="none"/>
          <w:lang w:val="en-US" w:eastAsia="zh-CN"/>
        </w:rPr>
        <w:t>北京：</w:t>
      </w:r>
      <w:r>
        <w:rPr>
          <w:rFonts w:hint="default" w:ascii="宋体" w:hAnsi="宋体" w:eastAsia="宋体" w:cs="宋体"/>
          <w:color w:val="auto"/>
          <w:sz w:val="24"/>
          <w:szCs w:val="24"/>
          <w:highlight w:val="none"/>
          <w:lang w:val="en-US" w:eastAsia="zh-CN"/>
        </w:rPr>
        <w:t>海洋出版社,2005</w:t>
      </w:r>
      <w:r>
        <w:rPr>
          <w:rFonts w:hint="eastAsia" w:cs="宋体"/>
          <w:color w:val="auto"/>
          <w:sz w:val="24"/>
          <w:szCs w:val="24"/>
          <w:highlight w:val="none"/>
          <w:lang w:val="en-US" w:eastAsia="zh-CN"/>
        </w:rPr>
        <w:t>.</w:t>
      </w:r>
    </w:p>
    <w:p>
      <w:pPr>
        <w:widowControl w:val="0"/>
        <w:spacing w:line="460" w:lineRule="exact"/>
        <w:jc w:val="both"/>
        <w:rPr>
          <w:rFonts w:hint="eastAsia" w:cs="宋体"/>
          <w:color w:val="auto"/>
          <w:sz w:val="24"/>
          <w:szCs w:val="44"/>
          <w:highlight w:val="none"/>
          <w:lang w:val="en-US" w:eastAsia="zh-CN"/>
        </w:rPr>
      </w:pPr>
      <w:r>
        <w:rPr>
          <w:rFonts w:hint="eastAsia" w:cs="宋体"/>
          <w:color w:val="auto"/>
          <w:sz w:val="24"/>
          <w:szCs w:val="24"/>
          <w:highlight w:val="none"/>
          <w:lang w:val="en-US" w:eastAsia="zh-CN"/>
        </w:rPr>
        <w:t>12.</w:t>
      </w:r>
      <w:r>
        <w:rPr>
          <w:rFonts w:hint="eastAsia" w:hAnsi="宋体" w:cs="宋体"/>
          <w:color w:val="auto"/>
          <w:kern w:val="0"/>
          <w:szCs w:val="24"/>
          <w:highlight w:val="none"/>
          <w:lang w:val="en-US" w:eastAsia="zh-CN" w:bidi="ar-SA"/>
        </w:rPr>
        <w:t>郭根喜、陶启友</w:t>
      </w:r>
      <w:r>
        <w:rPr>
          <w:rFonts w:hint="eastAsia" w:cs="宋体"/>
          <w:color w:val="auto"/>
          <w:kern w:val="0"/>
          <w:szCs w:val="24"/>
          <w:highlight w:val="none"/>
          <w:lang w:val="en-US" w:eastAsia="zh-CN" w:bidi="ar-SA"/>
        </w:rPr>
        <w:t>.</w:t>
      </w:r>
      <w:r>
        <w:rPr>
          <w:rFonts w:hint="eastAsia" w:hAnsi="宋体" w:cs="宋体"/>
          <w:color w:val="auto"/>
          <w:kern w:val="0"/>
          <w:szCs w:val="24"/>
          <w:highlight w:val="none"/>
          <w:lang w:val="en-US" w:eastAsia="zh-CN" w:bidi="ar-SA"/>
        </w:rPr>
        <w:t>《</w:t>
      </w:r>
      <w:r>
        <w:rPr>
          <w:rFonts w:hint="eastAsia" w:cs="宋体"/>
          <w:color w:val="auto"/>
          <w:kern w:val="0"/>
          <w:szCs w:val="24"/>
          <w:highlight w:val="none"/>
          <w:lang w:val="en-US" w:eastAsia="zh-CN" w:bidi="ar-SA"/>
        </w:rPr>
        <w:t>深水网箱</w:t>
      </w:r>
      <w:r>
        <w:rPr>
          <w:rFonts w:hint="eastAsia" w:hAnsi="宋体" w:cs="宋体"/>
          <w:color w:val="auto"/>
          <w:kern w:val="0"/>
          <w:szCs w:val="24"/>
          <w:highlight w:val="none"/>
          <w:lang w:val="en-US" w:eastAsia="zh-CN" w:bidi="ar-SA"/>
        </w:rPr>
        <w:t>养殖军曹鱼技术要点》</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.科学养鱼，2008（11）：73-74.</w:t>
      </w:r>
    </w:p>
    <w:p>
      <w:pPr>
        <w:widowControl w:val="0"/>
        <w:spacing w:line="460" w:lineRule="exact"/>
        <w:jc w:val="both"/>
        <w:rPr>
          <w:rFonts w:hint="eastAsia" w:cs="宋体"/>
          <w:color w:val="auto"/>
          <w:sz w:val="24"/>
          <w:szCs w:val="24"/>
          <w:highlight w:val="none"/>
          <w:lang w:val="en-US" w:eastAsia="zh-CN"/>
        </w:rPr>
      </w:pPr>
      <w:r>
        <w:rPr>
          <w:rFonts w:hint="eastAsia" w:cs="宋体"/>
          <w:color w:val="auto"/>
          <w:sz w:val="24"/>
          <w:szCs w:val="44"/>
          <w:highlight w:val="none"/>
          <w:lang w:val="en-US" w:eastAsia="zh-CN"/>
        </w:rPr>
        <w:t>13.广东省地方标准</w:t>
      </w:r>
      <w:r>
        <w:rPr>
          <w:rFonts w:hint="default" w:cs="宋体"/>
          <w:color w:val="auto"/>
          <w:sz w:val="24"/>
          <w:szCs w:val="24"/>
          <w:highlight w:val="none"/>
          <w:lang w:val="en-US" w:eastAsia="zh-CN"/>
        </w:rPr>
        <w:t>DB44/T 2380—2022</w:t>
      </w:r>
      <w:r>
        <w:rPr>
          <w:rFonts w:hint="eastAsia" w:cs="宋体"/>
          <w:color w:val="auto"/>
          <w:sz w:val="24"/>
          <w:szCs w:val="24"/>
          <w:highlight w:val="none"/>
          <w:lang w:val="en-US" w:eastAsia="zh-CN"/>
        </w:rPr>
        <w:t>军曹鱼网箱养殖技术规范</w:t>
      </w:r>
    </w:p>
    <w:p>
      <w:pPr>
        <w:widowControl w:val="0"/>
        <w:spacing w:line="460" w:lineRule="exact"/>
        <w:jc w:val="both"/>
        <w:rPr>
          <w:rFonts w:hint="eastAsia" w:cs="宋体"/>
          <w:color w:val="auto"/>
          <w:sz w:val="24"/>
          <w:szCs w:val="24"/>
          <w:highlight w:val="none"/>
          <w:lang w:val="en-US" w:eastAsia="zh-CN"/>
        </w:rPr>
      </w:pPr>
      <w:r>
        <w:rPr>
          <w:rFonts w:hint="eastAsia" w:cs="宋体"/>
          <w:color w:val="auto"/>
          <w:sz w:val="24"/>
          <w:szCs w:val="24"/>
          <w:highlight w:val="none"/>
          <w:lang w:val="en-US" w:eastAsia="zh-CN"/>
        </w:rPr>
        <w:t>14.海南省地方标准</w:t>
      </w:r>
      <w:r>
        <w:rPr>
          <w:rFonts w:hint="default" w:cs="宋体"/>
          <w:color w:val="auto"/>
          <w:sz w:val="24"/>
          <w:szCs w:val="24"/>
          <w:highlight w:val="none"/>
          <w:lang w:val="en-US" w:eastAsia="zh-CN"/>
        </w:rPr>
        <w:t>DB46/T 170—2009</w:t>
      </w:r>
      <w:r>
        <w:rPr>
          <w:rFonts w:hint="eastAsia" w:cs="宋体"/>
          <w:color w:val="auto"/>
          <w:sz w:val="24"/>
          <w:szCs w:val="24"/>
          <w:highlight w:val="none"/>
          <w:lang w:val="en-US" w:eastAsia="zh-CN"/>
        </w:rPr>
        <w:t>军曹鱼深水网箱养殖技术规程</w:t>
      </w:r>
    </w:p>
    <w:p>
      <w:pPr>
        <w:widowControl w:val="0"/>
        <w:spacing w:line="460" w:lineRule="exact"/>
        <w:jc w:val="both"/>
        <w:rPr>
          <w:rFonts w:hint="default" w:cs="宋体"/>
          <w:color w:val="auto"/>
          <w:sz w:val="24"/>
          <w:szCs w:val="24"/>
          <w:highlight w:val="none"/>
          <w:lang w:val="en-US" w:eastAsia="zh-CN"/>
        </w:rPr>
      </w:pPr>
      <w:r>
        <w:rPr>
          <w:rFonts w:hint="eastAsia" w:cs="宋体"/>
          <w:color w:val="auto"/>
          <w:sz w:val="24"/>
          <w:szCs w:val="24"/>
          <w:highlight w:val="none"/>
          <w:lang w:val="en-US" w:eastAsia="zh-CN"/>
        </w:rPr>
        <w:t>15.区又君，李加儿，江世贵，等.卵形鲳鲹 花鲈 军曹鱼 黄鳍鲷 美国红鱼 高效生态养殖新技术</w:t>
      </w:r>
      <w:r>
        <w:rPr>
          <w:rFonts w:hint="eastAsia" w:ascii="宋体" w:hAnsi="宋体" w:eastAsia="宋体" w:cs="宋体"/>
          <w:color w:val="auto"/>
          <w:sz w:val="24"/>
          <w:szCs w:val="44"/>
          <w:highlight w:val="none"/>
        </w:rPr>
        <w:t>[</w:t>
      </w:r>
      <w:r>
        <w:rPr>
          <w:rFonts w:hint="eastAsia" w:cs="宋体"/>
          <w:color w:val="auto"/>
          <w:sz w:val="24"/>
          <w:szCs w:val="44"/>
          <w:highlight w:val="none"/>
          <w:lang w:val="en-US" w:eastAsia="zh-CN"/>
        </w:rPr>
        <w:t>M</w:t>
      </w:r>
      <w:r>
        <w:rPr>
          <w:rFonts w:hint="eastAsia" w:ascii="宋体" w:hAnsi="宋体" w:eastAsia="宋体" w:cs="宋体"/>
          <w:color w:val="auto"/>
          <w:sz w:val="24"/>
          <w:szCs w:val="44"/>
          <w:highlight w:val="none"/>
        </w:rPr>
        <w:t>]</w:t>
      </w:r>
      <w:r>
        <w:rPr>
          <w:rFonts w:hint="eastAsia" w:cs="宋体"/>
          <w:color w:val="auto"/>
          <w:sz w:val="24"/>
          <w:szCs w:val="44"/>
          <w:highlight w:val="none"/>
          <w:lang w:val="en-US" w:eastAsia="zh-CN"/>
        </w:rPr>
        <w:t>.</w:t>
      </w:r>
      <w:r>
        <w:rPr>
          <w:rFonts w:hint="eastAsia" w:cs="宋体"/>
          <w:color w:val="auto"/>
          <w:sz w:val="24"/>
          <w:szCs w:val="24"/>
          <w:highlight w:val="none"/>
          <w:lang w:val="en-US" w:eastAsia="zh-CN"/>
        </w:rPr>
        <w:t>北京：海洋出版社，2015.</w:t>
      </w:r>
    </w:p>
    <w:p>
      <w:pPr>
        <w:widowControl w:val="0"/>
        <w:spacing w:line="460" w:lineRule="exact"/>
        <w:jc w:val="both"/>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16.</w:t>
      </w:r>
      <w:r>
        <w:rPr>
          <w:rFonts w:hint="eastAsia"/>
          <w:color w:val="auto"/>
          <w:highlight w:val="none"/>
          <w:lang w:val="en-US" w:eastAsia="zh-CN"/>
        </w:rPr>
        <w:t>郭泽雄.《近海浮绳式网箱养殖军曹鱼技术要点》</w:t>
      </w:r>
      <w:r>
        <w:rPr>
          <w:rFonts w:hint="eastAsia" w:ascii="宋体" w:hAnsi="宋体" w:eastAsia="宋体" w:cs="宋体"/>
          <w:color w:val="auto"/>
          <w:sz w:val="24"/>
          <w:szCs w:val="44"/>
          <w:highlight w:val="none"/>
        </w:rPr>
        <w:t>[J]</w:t>
      </w:r>
      <w:r>
        <w:rPr>
          <w:rFonts w:hint="eastAsia" w:cs="宋体"/>
          <w:color w:val="auto"/>
          <w:sz w:val="24"/>
          <w:szCs w:val="44"/>
          <w:highlight w:val="none"/>
          <w:lang w:val="en-US" w:eastAsia="zh-CN"/>
        </w:rPr>
        <w:t>.科学养鱼，2002（2）：28.</w:t>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ZSSK--GBK1-0">
    <w:altName w:val="Cambria"/>
    <w:panose1 w:val="00000000000000000000"/>
    <w:charset w:val="00"/>
    <w:family w:val="roman"/>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265313925"/>
      </w:sdtPr>
      <w:sdtContent/>
    </w:sdt>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1265402"/>
                            <w:docPartObj>
                              <w:docPartGallery w:val="autotext"/>
                            </w:docPartObj>
                          </w:sdtPr>
                          <w:sdtContent>
                            <w:p>
                              <w:pPr>
                                <w:pStyle w:val="8"/>
                                <w:jc w:val="center"/>
                              </w:pPr>
                              <w:r>
                                <w:fldChar w:fldCharType="begin"/>
                              </w:r>
                              <w:r>
                                <w:instrText xml:space="preserve">PAGE   \* MERGEFORMAT</w:instrText>
                              </w:r>
                              <w:r>
                                <w:fldChar w:fldCharType="separate"/>
                              </w:r>
                              <w:r>
                                <w:rPr>
                                  <w:lang w:val="zh-CN"/>
                                </w:rPr>
                                <w:t>21</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71265402"/>
                      <w:docPartObj>
                        <w:docPartGallery w:val="autotext"/>
                      </w:docPartObj>
                    </w:sdtPr>
                    <w:sdtContent>
                      <w:p>
                        <w:pPr>
                          <w:pStyle w:val="8"/>
                          <w:jc w:val="center"/>
                        </w:pPr>
                        <w:r>
                          <w:fldChar w:fldCharType="begin"/>
                        </w:r>
                        <w:r>
                          <w:instrText xml:space="preserve">PAGE   \* MERGEFORMAT</w:instrText>
                        </w:r>
                        <w:r>
                          <w:fldChar w:fldCharType="separate"/>
                        </w:r>
                        <w:r>
                          <w:rPr>
                            <w:lang w:val="zh-CN"/>
                          </w:rPr>
                          <w:t>21</w:t>
                        </w:r>
                        <w:r>
                          <w:fldChar w:fldCharType="end"/>
                        </w:r>
                      </w:p>
                    </w:sdtContent>
                  </w:sdt>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2"/>
      <w:suff w:val="nothing"/>
      <w:lvlText w:val="%1%2　"/>
      <w:lvlJc w:val="left"/>
      <w:pPr>
        <w:ind w:left="0" w:firstLine="0"/>
      </w:pPr>
      <w:rPr>
        <w:rFonts w:hint="eastAsia" w:ascii="黑体" w:eastAsia="黑体"/>
        <w:b w:val="0"/>
        <w:i w:val="0"/>
        <w:sz w:val="21"/>
      </w:rPr>
    </w:lvl>
    <w:lvl w:ilvl="2" w:tentative="0">
      <w:start w:val="1"/>
      <w:numFmt w:val="decimal"/>
      <w:pStyle w:val="4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4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M2E0ODY5OTc0MmIwNGFkMDRlMjhlM2Q3NGIzM2EifQ=="/>
    <w:docVar w:name="KSO_WPS_MARK_KEY" w:val="7d559d62-a6a3-4f26-8d50-b719f8141338"/>
  </w:docVars>
  <w:rsids>
    <w:rsidRoot w:val="00172A27"/>
    <w:rsid w:val="0000007F"/>
    <w:rsid w:val="000025FF"/>
    <w:rsid w:val="00002DF6"/>
    <w:rsid w:val="00003822"/>
    <w:rsid w:val="00005351"/>
    <w:rsid w:val="000058B1"/>
    <w:rsid w:val="0000599B"/>
    <w:rsid w:val="00005D12"/>
    <w:rsid w:val="00005EB3"/>
    <w:rsid w:val="0000627A"/>
    <w:rsid w:val="00006B2D"/>
    <w:rsid w:val="0000737A"/>
    <w:rsid w:val="0001016B"/>
    <w:rsid w:val="000101A3"/>
    <w:rsid w:val="00010247"/>
    <w:rsid w:val="0001109D"/>
    <w:rsid w:val="00011523"/>
    <w:rsid w:val="000121E7"/>
    <w:rsid w:val="00012B21"/>
    <w:rsid w:val="00013AC6"/>
    <w:rsid w:val="00013F7B"/>
    <w:rsid w:val="00014BAE"/>
    <w:rsid w:val="00016809"/>
    <w:rsid w:val="00016AC8"/>
    <w:rsid w:val="000204F5"/>
    <w:rsid w:val="000211DF"/>
    <w:rsid w:val="000235F6"/>
    <w:rsid w:val="0002391A"/>
    <w:rsid w:val="00025182"/>
    <w:rsid w:val="00025660"/>
    <w:rsid w:val="00026068"/>
    <w:rsid w:val="000261B7"/>
    <w:rsid w:val="00026AD9"/>
    <w:rsid w:val="0003007E"/>
    <w:rsid w:val="00030551"/>
    <w:rsid w:val="0003124F"/>
    <w:rsid w:val="0003149A"/>
    <w:rsid w:val="0003178B"/>
    <w:rsid w:val="00031B66"/>
    <w:rsid w:val="00032512"/>
    <w:rsid w:val="00033C63"/>
    <w:rsid w:val="00033EF9"/>
    <w:rsid w:val="000352C4"/>
    <w:rsid w:val="00035F19"/>
    <w:rsid w:val="0003628D"/>
    <w:rsid w:val="00036D06"/>
    <w:rsid w:val="00036F4C"/>
    <w:rsid w:val="0004066D"/>
    <w:rsid w:val="000410D0"/>
    <w:rsid w:val="00043385"/>
    <w:rsid w:val="00044393"/>
    <w:rsid w:val="00044D86"/>
    <w:rsid w:val="00045C9C"/>
    <w:rsid w:val="0004695B"/>
    <w:rsid w:val="00050D00"/>
    <w:rsid w:val="00050E26"/>
    <w:rsid w:val="000510B4"/>
    <w:rsid w:val="00051C89"/>
    <w:rsid w:val="00051CEC"/>
    <w:rsid w:val="00052A5C"/>
    <w:rsid w:val="00053932"/>
    <w:rsid w:val="00054E11"/>
    <w:rsid w:val="0005615A"/>
    <w:rsid w:val="0005724A"/>
    <w:rsid w:val="00057288"/>
    <w:rsid w:val="00057932"/>
    <w:rsid w:val="00060554"/>
    <w:rsid w:val="000606E4"/>
    <w:rsid w:val="00061944"/>
    <w:rsid w:val="00062310"/>
    <w:rsid w:val="00063DB2"/>
    <w:rsid w:val="00064C36"/>
    <w:rsid w:val="00064CB5"/>
    <w:rsid w:val="00065511"/>
    <w:rsid w:val="00065FBC"/>
    <w:rsid w:val="0006649D"/>
    <w:rsid w:val="000666D3"/>
    <w:rsid w:val="000702A8"/>
    <w:rsid w:val="00071179"/>
    <w:rsid w:val="0007204A"/>
    <w:rsid w:val="00072A91"/>
    <w:rsid w:val="00076FE6"/>
    <w:rsid w:val="00077B94"/>
    <w:rsid w:val="00081256"/>
    <w:rsid w:val="000816F8"/>
    <w:rsid w:val="00084550"/>
    <w:rsid w:val="00084F69"/>
    <w:rsid w:val="00085197"/>
    <w:rsid w:val="00085483"/>
    <w:rsid w:val="000869B2"/>
    <w:rsid w:val="00087441"/>
    <w:rsid w:val="0008747B"/>
    <w:rsid w:val="0008751F"/>
    <w:rsid w:val="00087532"/>
    <w:rsid w:val="00090E69"/>
    <w:rsid w:val="0009140D"/>
    <w:rsid w:val="000918A3"/>
    <w:rsid w:val="00091CEF"/>
    <w:rsid w:val="000923FA"/>
    <w:rsid w:val="00092739"/>
    <w:rsid w:val="00092C36"/>
    <w:rsid w:val="00092FDE"/>
    <w:rsid w:val="00093622"/>
    <w:rsid w:val="00095614"/>
    <w:rsid w:val="000977D1"/>
    <w:rsid w:val="00097905"/>
    <w:rsid w:val="000A216B"/>
    <w:rsid w:val="000A287F"/>
    <w:rsid w:val="000A2AC6"/>
    <w:rsid w:val="000A4440"/>
    <w:rsid w:val="000A45B6"/>
    <w:rsid w:val="000A509C"/>
    <w:rsid w:val="000A696A"/>
    <w:rsid w:val="000A6997"/>
    <w:rsid w:val="000A796A"/>
    <w:rsid w:val="000B0264"/>
    <w:rsid w:val="000B0B04"/>
    <w:rsid w:val="000B1EBA"/>
    <w:rsid w:val="000B2475"/>
    <w:rsid w:val="000B2C6C"/>
    <w:rsid w:val="000B52D6"/>
    <w:rsid w:val="000B704A"/>
    <w:rsid w:val="000B709C"/>
    <w:rsid w:val="000C0853"/>
    <w:rsid w:val="000C0B96"/>
    <w:rsid w:val="000C23FB"/>
    <w:rsid w:val="000C2646"/>
    <w:rsid w:val="000C3418"/>
    <w:rsid w:val="000C3F9E"/>
    <w:rsid w:val="000C413F"/>
    <w:rsid w:val="000C7FCA"/>
    <w:rsid w:val="000D064F"/>
    <w:rsid w:val="000D2987"/>
    <w:rsid w:val="000D34DF"/>
    <w:rsid w:val="000D429E"/>
    <w:rsid w:val="000D4577"/>
    <w:rsid w:val="000D606E"/>
    <w:rsid w:val="000D7662"/>
    <w:rsid w:val="000D7F86"/>
    <w:rsid w:val="000E0636"/>
    <w:rsid w:val="000E0F13"/>
    <w:rsid w:val="000E22B5"/>
    <w:rsid w:val="000E283E"/>
    <w:rsid w:val="000E2B1E"/>
    <w:rsid w:val="000E44A7"/>
    <w:rsid w:val="000E4E81"/>
    <w:rsid w:val="000E537E"/>
    <w:rsid w:val="000E5ABB"/>
    <w:rsid w:val="000E7235"/>
    <w:rsid w:val="000F019E"/>
    <w:rsid w:val="000F1594"/>
    <w:rsid w:val="000F1DF4"/>
    <w:rsid w:val="000F4580"/>
    <w:rsid w:val="000F465A"/>
    <w:rsid w:val="000F4D85"/>
    <w:rsid w:val="000F57C1"/>
    <w:rsid w:val="000F597F"/>
    <w:rsid w:val="000F59E4"/>
    <w:rsid w:val="000F6291"/>
    <w:rsid w:val="000F7694"/>
    <w:rsid w:val="001005B2"/>
    <w:rsid w:val="00100EE1"/>
    <w:rsid w:val="001013B4"/>
    <w:rsid w:val="0010163A"/>
    <w:rsid w:val="00102280"/>
    <w:rsid w:val="00102342"/>
    <w:rsid w:val="00104305"/>
    <w:rsid w:val="0010452C"/>
    <w:rsid w:val="001057CD"/>
    <w:rsid w:val="001072CE"/>
    <w:rsid w:val="00107CBC"/>
    <w:rsid w:val="001117DF"/>
    <w:rsid w:val="00112128"/>
    <w:rsid w:val="00112E53"/>
    <w:rsid w:val="001130EF"/>
    <w:rsid w:val="001146F3"/>
    <w:rsid w:val="00115A7F"/>
    <w:rsid w:val="00115E56"/>
    <w:rsid w:val="00116156"/>
    <w:rsid w:val="00116C04"/>
    <w:rsid w:val="0011722E"/>
    <w:rsid w:val="0011746F"/>
    <w:rsid w:val="00117E1A"/>
    <w:rsid w:val="0012003F"/>
    <w:rsid w:val="00121FEB"/>
    <w:rsid w:val="00122E35"/>
    <w:rsid w:val="0012415F"/>
    <w:rsid w:val="00124245"/>
    <w:rsid w:val="00125509"/>
    <w:rsid w:val="00125B04"/>
    <w:rsid w:val="00126CB7"/>
    <w:rsid w:val="00127366"/>
    <w:rsid w:val="001278EB"/>
    <w:rsid w:val="00131243"/>
    <w:rsid w:val="00132D2A"/>
    <w:rsid w:val="00133CDF"/>
    <w:rsid w:val="001345A9"/>
    <w:rsid w:val="001348BD"/>
    <w:rsid w:val="00134F2A"/>
    <w:rsid w:val="00136134"/>
    <w:rsid w:val="00136484"/>
    <w:rsid w:val="00136CEE"/>
    <w:rsid w:val="00136D87"/>
    <w:rsid w:val="00137647"/>
    <w:rsid w:val="00140A15"/>
    <w:rsid w:val="00140F27"/>
    <w:rsid w:val="001416C7"/>
    <w:rsid w:val="001433A9"/>
    <w:rsid w:val="00144107"/>
    <w:rsid w:val="00144543"/>
    <w:rsid w:val="00144B66"/>
    <w:rsid w:val="00144C59"/>
    <w:rsid w:val="001451FD"/>
    <w:rsid w:val="00145796"/>
    <w:rsid w:val="00146F58"/>
    <w:rsid w:val="001472E5"/>
    <w:rsid w:val="00147880"/>
    <w:rsid w:val="00147AC8"/>
    <w:rsid w:val="00147B76"/>
    <w:rsid w:val="00147DCD"/>
    <w:rsid w:val="00150FBE"/>
    <w:rsid w:val="00151753"/>
    <w:rsid w:val="00152F5B"/>
    <w:rsid w:val="001533BE"/>
    <w:rsid w:val="00154932"/>
    <w:rsid w:val="00154CFC"/>
    <w:rsid w:val="001554E6"/>
    <w:rsid w:val="00155675"/>
    <w:rsid w:val="00160084"/>
    <w:rsid w:val="001605C3"/>
    <w:rsid w:val="00160C26"/>
    <w:rsid w:val="00161F92"/>
    <w:rsid w:val="00163334"/>
    <w:rsid w:val="00163B87"/>
    <w:rsid w:val="00164086"/>
    <w:rsid w:val="0016408C"/>
    <w:rsid w:val="001644EE"/>
    <w:rsid w:val="00164EFA"/>
    <w:rsid w:val="001663AD"/>
    <w:rsid w:val="00166A86"/>
    <w:rsid w:val="00167886"/>
    <w:rsid w:val="00171926"/>
    <w:rsid w:val="00172492"/>
    <w:rsid w:val="0017312C"/>
    <w:rsid w:val="00173863"/>
    <w:rsid w:val="00173BC2"/>
    <w:rsid w:val="001742AC"/>
    <w:rsid w:val="00174E4C"/>
    <w:rsid w:val="001753AE"/>
    <w:rsid w:val="00177AE0"/>
    <w:rsid w:val="001820B0"/>
    <w:rsid w:val="0018295F"/>
    <w:rsid w:val="00182B8D"/>
    <w:rsid w:val="0018412C"/>
    <w:rsid w:val="0018518D"/>
    <w:rsid w:val="00186887"/>
    <w:rsid w:val="00190E7D"/>
    <w:rsid w:val="00191686"/>
    <w:rsid w:val="001916D5"/>
    <w:rsid w:val="00192B16"/>
    <w:rsid w:val="0019335E"/>
    <w:rsid w:val="00193DF7"/>
    <w:rsid w:val="00194657"/>
    <w:rsid w:val="00197785"/>
    <w:rsid w:val="00197DDD"/>
    <w:rsid w:val="001A0CA0"/>
    <w:rsid w:val="001A1688"/>
    <w:rsid w:val="001A24F1"/>
    <w:rsid w:val="001A2863"/>
    <w:rsid w:val="001A31B3"/>
    <w:rsid w:val="001A3969"/>
    <w:rsid w:val="001A3F3A"/>
    <w:rsid w:val="001A4307"/>
    <w:rsid w:val="001A4981"/>
    <w:rsid w:val="001A50DB"/>
    <w:rsid w:val="001A5608"/>
    <w:rsid w:val="001A5970"/>
    <w:rsid w:val="001A60BA"/>
    <w:rsid w:val="001B0BA2"/>
    <w:rsid w:val="001B1F56"/>
    <w:rsid w:val="001B2282"/>
    <w:rsid w:val="001B2A34"/>
    <w:rsid w:val="001B3391"/>
    <w:rsid w:val="001B4302"/>
    <w:rsid w:val="001B44CE"/>
    <w:rsid w:val="001B4FB9"/>
    <w:rsid w:val="001B56E8"/>
    <w:rsid w:val="001B5A2E"/>
    <w:rsid w:val="001B7456"/>
    <w:rsid w:val="001B78B7"/>
    <w:rsid w:val="001B79DF"/>
    <w:rsid w:val="001C0AD4"/>
    <w:rsid w:val="001C17FD"/>
    <w:rsid w:val="001C2EE0"/>
    <w:rsid w:val="001C4C90"/>
    <w:rsid w:val="001C4CAE"/>
    <w:rsid w:val="001C5664"/>
    <w:rsid w:val="001C64E5"/>
    <w:rsid w:val="001C6A4C"/>
    <w:rsid w:val="001C7AB0"/>
    <w:rsid w:val="001D14A2"/>
    <w:rsid w:val="001D16EE"/>
    <w:rsid w:val="001D2379"/>
    <w:rsid w:val="001D2770"/>
    <w:rsid w:val="001D2D2C"/>
    <w:rsid w:val="001D2D91"/>
    <w:rsid w:val="001D3141"/>
    <w:rsid w:val="001D3CCB"/>
    <w:rsid w:val="001D3EF1"/>
    <w:rsid w:val="001D4B6C"/>
    <w:rsid w:val="001D4D03"/>
    <w:rsid w:val="001D50B2"/>
    <w:rsid w:val="001D56E8"/>
    <w:rsid w:val="001D586E"/>
    <w:rsid w:val="001D5B99"/>
    <w:rsid w:val="001E05F6"/>
    <w:rsid w:val="001E0D45"/>
    <w:rsid w:val="001E1539"/>
    <w:rsid w:val="001E1AA0"/>
    <w:rsid w:val="001E2FB7"/>
    <w:rsid w:val="001E3175"/>
    <w:rsid w:val="001E3841"/>
    <w:rsid w:val="001E3E61"/>
    <w:rsid w:val="001E4792"/>
    <w:rsid w:val="001E4A1F"/>
    <w:rsid w:val="001E5E79"/>
    <w:rsid w:val="001E6F3B"/>
    <w:rsid w:val="001E7D49"/>
    <w:rsid w:val="001F16C0"/>
    <w:rsid w:val="001F23DD"/>
    <w:rsid w:val="001F2B37"/>
    <w:rsid w:val="001F3C57"/>
    <w:rsid w:val="001F41F2"/>
    <w:rsid w:val="001F4C24"/>
    <w:rsid w:val="002002DB"/>
    <w:rsid w:val="00200E6B"/>
    <w:rsid w:val="00201903"/>
    <w:rsid w:val="00202557"/>
    <w:rsid w:val="00202AAF"/>
    <w:rsid w:val="00202C73"/>
    <w:rsid w:val="0020374A"/>
    <w:rsid w:val="00204103"/>
    <w:rsid w:val="002045A0"/>
    <w:rsid w:val="00204C4F"/>
    <w:rsid w:val="00204CAE"/>
    <w:rsid w:val="00204CBB"/>
    <w:rsid w:val="00206BFE"/>
    <w:rsid w:val="00213784"/>
    <w:rsid w:val="00215A67"/>
    <w:rsid w:val="0021672D"/>
    <w:rsid w:val="00216AD8"/>
    <w:rsid w:val="00217616"/>
    <w:rsid w:val="0021780F"/>
    <w:rsid w:val="00220474"/>
    <w:rsid w:val="002208D7"/>
    <w:rsid w:val="00220FED"/>
    <w:rsid w:val="00221FD7"/>
    <w:rsid w:val="0022238A"/>
    <w:rsid w:val="00222676"/>
    <w:rsid w:val="00223035"/>
    <w:rsid w:val="00223D9A"/>
    <w:rsid w:val="00223DCA"/>
    <w:rsid w:val="00225879"/>
    <w:rsid w:val="00226D83"/>
    <w:rsid w:val="00227B6F"/>
    <w:rsid w:val="002329C5"/>
    <w:rsid w:val="002334A0"/>
    <w:rsid w:val="00233531"/>
    <w:rsid w:val="00234A71"/>
    <w:rsid w:val="00235278"/>
    <w:rsid w:val="00235F82"/>
    <w:rsid w:val="00237E68"/>
    <w:rsid w:val="002402AA"/>
    <w:rsid w:val="00240AFD"/>
    <w:rsid w:val="00240E34"/>
    <w:rsid w:val="00242F97"/>
    <w:rsid w:val="0024312E"/>
    <w:rsid w:val="0024423F"/>
    <w:rsid w:val="0024597A"/>
    <w:rsid w:val="002474D9"/>
    <w:rsid w:val="00247C8A"/>
    <w:rsid w:val="00250234"/>
    <w:rsid w:val="00250632"/>
    <w:rsid w:val="00252AF3"/>
    <w:rsid w:val="00253B26"/>
    <w:rsid w:val="0025492F"/>
    <w:rsid w:val="00254B32"/>
    <w:rsid w:val="00255822"/>
    <w:rsid w:val="00256A08"/>
    <w:rsid w:val="00257692"/>
    <w:rsid w:val="002576EA"/>
    <w:rsid w:val="002578C7"/>
    <w:rsid w:val="00257A22"/>
    <w:rsid w:val="00260FED"/>
    <w:rsid w:val="00261045"/>
    <w:rsid w:val="002616E9"/>
    <w:rsid w:val="0026236B"/>
    <w:rsid w:val="00266951"/>
    <w:rsid w:val="00267334"/>
    <w:rsid w:val="00267B42"/>
    <w:rsid w:val="00267F76"/>
    <w:rsid w:val="0027127F"/>
    <w:rsid w:val="002714A8"/>
    <w:rsid w:val="0027225B"/>
    <w:rsid w:val="0027383B"/>
    <w:rsid w:val="00273F3C"/>
    <w:rsid w:val="002746C1"/>
    <w:rsid w:val="002747A9"/>
    <w:rsid w:val="002749BF"/>
    <w:rsid w:val="00275A64"/>
    <w:rsid w:val="00275CD9"/>
    <w:rsid w:val="0027633F"/>
    <w:rsid w:val="00276523"/>
    <w:rsid w:val="00276AEE"/>
    <w:rsid w:val="0027773B"/>
    <w:rsid w:val="0028246D"/>
    <w:rsid w:val="002830E1"/>
    <w:rsid w:val="0028388F"/>
    <w:rsid w:val="00283EEE"/>
    <w:rsid w:val="00283FDB"/>
    <w:rsid w:val="00284141"/>
    <w:rsid w:val="00284442"/>
    <w:rsid w:val="00284D2F"/>
    <w:rsid w:val="0028608D"/>
    <w:rsid w:val="00286244"/>
    <w:rsid w:val="0028674F"/>
    <w:rsid w:val="00286A69"/>
    <w:rsid w:val="00287674"/>
    <w:rsid w:val="00291AF1"/>
    <w:rsid w:val="002936B5"/>
    <w:rsid w:val="00293F84"/>
    <w:rsid w:val="00296050"/>
    <w:rsid w:val="002960A4"/>
    <w:rsid w:val="00296244"/>
    <w:rsid w:val="002A02E0"/>
    <w:rsid w:val="002A07FD"/>
    <w:rsid w:val="002A0C35"/>
    <w:rsid w:val="002A0D90"/>
    <w:rsid w:val="002A0DF7"/>
    <w:rsid w:val="002A143D"/>
    <w:rsid w:val="002A15CC"/>
    <w:rsid w:val="002A1D1D"/>
    <w:rsid w:val="002A26F8"/>
    <w:rsid w:val="002A2C44"/>
    <w:rsid w:val="002A33A6"/>
    <w:rsid w:val="002A4A3C"/>
    <w:rsid w:val="002A5C2C"/>
    <w:rsid w:val="002A5DB6"/>
    <w:rsid w:val="002A5E1E"/>
    <w:rsid w:val="002A68B2"/>
    <w:rsid w:val="002A6F69"/>
    <w:rsid w:val="002A7D67"/>
    <w:rsid w:val="002B026F"/>
    <w:rsid w:val="002B0580"/>
    <w:rsid w:val="002B07CB"/>
    <w:rsid w:val="002B2BE1"/>
    <w:rsid w:val="002B2D30"/>
    <w:rsid w:val="002B31D4"/>
    <w:rsid w:val="002B4034"/>
    <w:rsid w:val="002B4728"/>
    <w:rsid w:val="002B47B2"/>
    <w:rsid w:val="002B7D8E"/>
    <w:rsid w:val="002C11D6"/>
    <w:rsid w:val="002C19BA"/>
    <w:rsid w:val="002C3F79"/>
    <w:rsid w:val="002C42F4"/>
    <w:rsid w:val="002C4706"/>
    <w:rsid w:val="002C485C"/>
    <w:rsid w:val="002C73AC"/>
    <w:rsid w:val="002D0ABA"/>
    <w:rsid w:val="002D0EB5"/>
    <w:rsid w:val="002D1033"/>
    <w:rsid w:val="002D221A"/>
    <w:rsid w:val="002D2B27"/>
    <w:rsid w:val="002D2D47"/>
    <w:rsid w:val="002D39F4"/>
    <w:rsid w:val="002D3B6D"/>
    <w:rsid w:val="002D47CF"/>
    <w:rsid w:val="002D4D63"/>
    <w:rsid w:val="002D555D"/>
    <w:rsid w:val="002D5D8D"/>
    <w:rsid w:val="002D7585"/>
    <w:rsid w:val="002E15AC"/>
    <w:rsid w:val="002E1E38"/>
    <w:rsid w:val="002E274B"/>
    <w:rsid w:val="002E4CD4"/>
    <w:rsid w:val="002E51E7"/>
    <w:rsid w:val="002E5340"/>
    <w:rsid w:val="002E575E"/>
    <w:rsid w:val="002F0508"/>
    <w:rsid w:val="002F14BD"/>
    <w:rsid w:val="002F26C7"/>
    <w:rsid w:val="002F2B97"/>
    <w:rsid w:val="002F2D27"/>
    <w:rsid w:val="002F39DC"/>
    <w:rsid w:val="002F4B69"/>
    <w:rsid w:val="002F4CD3"/>
    <w:rsid w:val="002F57C5"/>
    <w:rsid w:val="002F5C58"/>
    <w:rsid w:val="003018EF"/>
    <w:rsid w:val="00301D6C"/>
    <w:rsid w:val="00301DDB"/>
    <w:rsid w:val="00303578"/>
    <w:rsid w:val="00303CD4"/>
    <w:rsid w:val="00305938"/>
    <w:rsid w:val="00306D7E"/>
    <w:rsid w:val="00307D78"/>
    <w:rsid w:val="003105FB"/>
    <w:rsid w:val="00310F2F"/>
    <w:rsid w:val="00313417"/>
    <w:rsid w:val="00315E86"/>
    <w:rsid w:val="00316957"/>
    <w:rsid w:val="0031732F"/>
    <w:rsid w:val="003178F2"/>
    <w:rsid w:val="003206EA"/>
    <w:rsid w:val="00320E2C"/>
    <w:rsid w:val="0032153C"/>
    <w:rsid w:val="00322CBF"/>
    <w:rsid w:val="00322E59"/>
    <w:rsid w:val="003232DA"/>
    <w:rsid w:val="003245BF"/>
    <w:rsid w:val="003249BD"/>
    <w:rsid w:val="00325CD5"/>
    <w:rsid w:val="00326A2F"/>
    <w:rsid w:val="00327118"/>
    <w:rsid w:val="003272F3"/>
    <w:rsid w:val="00330B38"/>
    <w:rsid w:val="0033283D"/>
    <w:rsid w:val="00332C94"/>
    <w:rsid w:val="00332F71"/>
    <w:rsid w:val="00333896"/>
    <w:rsid w:val="00334A91"/>
    <w:rsid w:val="0033549B"/>
    <w:rsid w:val="00335A1C"/>
    <w:rsid w:val="003369AF"/>
    <w:rsid w:val="0034046B"/>
    <w:rsid w:val="00343581"/>
    <w:rsid w:val="00343EFC"/>
    <w:rsid w:val="00344D1B"/>
    <w:rsid w:val="00344F22"/>
    <w:rsid w:val="00344FC1"/>
    <w:rsid w:val="00345F8A"/>
    <w:rsid w:val="00346325"/>
    <w:rsid w:val="0034656F"/>
    <w:rsid w:val="003467C7"/>
    <w:rsid w:val="00346A5E"/>
    <w:rsid w:val="00350116"/>
    <w:rsid w:val="0035093B"/>
    <w:rsid w:val="003520DC"/>
    <w:rsid w:val="00352240"/>
    <w:rsid w:val="003534EC"/>
    <w:rsid w:val="0035374E"/>
    <w:rsid w:val="003544C5"/>
    <w:rsid w:val="00354F86"/>
    <w:rsid w:val="00354F8D"/>
    <w:rsid w:val="003563E4"/>
    <w:rsid w:val="00356D79"/>
    <w:rsid w:val="00360BC1"/>
    <w:rsid w:val="00360F14"/>
    <w:rsid w:val="003617FE"/>
    <w:rsid w:val="00361D48"/>
    <w:rsid w:val="003622B7"/>
    <w:rsid w:val="00362805"/>
    <w:rsid w:val="00362BFE"/>
    <w:rsid w:val="00362DF4"/>
    <w:rsid w:val="00363673"/>
    <w:rsid w:val="00364660"/>
    <w:rsid w:val="003649EF"/>
    <w:rsid w:val="00365008"/>
    <w:rsid w:val="00365D52"/>
    <w:rsid w:val="00366092"/>
    <w:rsid w:val="0036619C"/>
    <w:rsid w:val="003702C2"/>
    <w:rsid w:val="00370721"/>
    <w:rsid w:val="0037182C"/>
    <w:rsid w:val="00372F1A"/>
    <w:rsid w:val="003734F6"/>
    <w:rsid w:val="00373E8B"/>
    <w:rsid w:val="003749EF"/>
    <w:rsid w:val="003776BF"/>
    <w:rsid w:val="00377DDF"/>
    <w:rsid w:val="003800B4"/>
    <w:rsid w:val="00382405"/>
    <w:rsid w:val="003839F3"/>
    <w:rsid w:val="0038434A"/>
    <w:rsid w:val="003858E2"/>
    <w:rsid w:val="003862D0"/>
    <w:rsid w:val="00386479"/>
    <w:rsid w:val="003864C2"/>
    <w:rsid w:val="00386FA4"/>
    <w:rsid w:val="00387124"/>
    <w:rsid w:val="0039060B"/>
    <w:rsid w:val="00390A9A"/>
    <w:rsid w:val="00390E67"/>
    <w:rsid w:val="00391E4C"/>
    <w:rsid w:val="003926AD"/>
    <w:rsid w:val="00392FA4"/>
    <w:rsid w:val="003932CF"/>
    <w:rsid w:val="003935CA"/>
    <w:rsid w:val="003936AA"/>
    <w:rsid w:val="003949EF"/>
    <w:rsid w:val="0039713D"/>
    <w:rsid w:val="003976B7"/>
    <w:rsid w:val="003A1697"/>
    <w:rsid w:val="003A1D94"/>
    <w:rsid w:val="003A29E0"/>
    <w:rsid w:val="003A3343"/>
    <w:rsid w:val="003A3F3D"/>
    <w:rsid w:val="003A459E"/>
    <w:rsid w:val="003A4979"/>
    <w:rsid w:val="003A5A67"/>
    <w:rsid w:val="003A5D20"/>
    <w:rsid w:val="003A6F45"/>
    <w:rsid w:val="003A6F57"/>
    <w:rsid w:val="003A7534"/>
    <w:rsid w:val="003A78A1"/>
    <w:rsid w:val="003B05AF"/>
    <w:rsid w:val="003B0758"/>
    <w:rsid w:val="003B0770"/>
    <w:rsid w:val="003B177D"/>
    <w:rsid w:val="003B2A36"/>
    <w:rsid w:val="003B3D02"/>
    <w:rsid w:val="003B41E0"/>
    <w:rsid w:val="003B46C8"/>
    <w:rsid w:val="003B6F68"/>
    <w:rsid w:val="003B7391"/>
    <w:rsid w:val="003B7531"/>
    <w:rsid w:val="003B7551"/>
    <w:rsid w:val="003B791B"/>
    <w:rsid w:val="003C3919"/>
    <w:rsid w:val="003C5FBA"/>
    <w:rsid w:val="003C6611"/>
    <w:rsid w:val="003C661F"/>
    <w:rsid w:val="003C6BF8"/>
    <w:rsid w:val="003C7382"/>
    <w:rsid w:val="003C77CE"/>
    <w:rsid w:val="003D0232"/>
    <w:rsid w:val="003D096B"/>
    <w:rsid w:val="003D374A"/>
    <w:rsid w:val="003D4D88"/>
    <w:rsid w:val="003D7E0E"/>
    <w:rsid w:val="003D7FDC"/>
    <w:rsid w:val="003E005C"/>
    <w:rsid w:val="003E0D4E"/>
    <w:rsid w:val="003E2320"/>
    <w:rsid w:val="003E4407"/>
    <w:rsid w:val="003E4758"/>
    <w:rsid w:val="003E785F"/>
    <w:rsid w:val="003E7EED"/>
    <w:rsid w:val="003F01CA"/>
    <w:rsid w:val="003F0548"/>
    <w:rsid w:val="003F07AF"/>
    <w:rsid w:val="003F1DF4"/>
    <w:rsid w:val="003F300B"/>
    <w:rsid w:val="003F5175"/>
    <w:rsid w:val="003F668F"/>
    <w:rsid w:val="00400741"/>
    <w:rsid w:val="004010E0"/>
    <w:rsid w:val="0040166B"/>
    <w:rsid w:val="004023E3"/>
    <w:rsid w:val="00402CDB"/>
    <w:rsid w:val="00402E91"/>
    <w:rsid w:val="00403D49"/>
    <w:rsid w:val="004050E1"/>
    <w:rsid w:val="004054EB"/>
    <w:rsid w:val="00405780"/>
    <w:rsid w:val="00406B41"/>
    <w:rsid w:val="00406EF4"/>
    <w:rsid w:val="00406F8C"/>
    <w:rsid w:val="00410329"/>
    <w:rsid w:val="004108C8"/>
    <w:rsid w:val="004115DD"/>
    <w:rsid w:val="0041323A"/>
    <w:rsid w:val="004148B5"/>
    <w:rsid w:val="00414A68"/>
    <w:rsid w:val="004165D5"/>
    <w:rsid w:val="004165DC"/>
    <w:rsid w:val="00417AAA"/>
    <w:rsid w:val="004202DC"/>
    <w:rsid w:val="00420ECF"/>
    <w:rsid w:val="00423812"/>
    <w:rsid w:val="00423A00"/>
    <w:rsid w:val="00424295"/>
    <w:rsid w:val="004248AE"/>
    <w:rsid w:val="00426A3A"/>
    <w:rsid w:val="004304C3"/>
    <w:rsid w:val="00431B90"/>
    <w:rsid w:val="004333C2"/>
    <w:rsid w:val="00435306"/>
    <w:rsid w:val="00435BF5"/>
    <w:rsid w:val="00437AB1"/>
    <w:rsid w:val="004402E3"/>
    <w:rsid w:val="0044076A"/>
    <w:rsid w:val="00440F4F"/>
    <w:rsid w:val="0044155A"/>
    <w:rsid w:val="00441A9F"/>
    <w:rsid w:val="004435C5"/>
    <w:rsid w:val="00443E7C"/>
    <w:rsid w:val="00445284"/>
    <w:rsid w:val="0044771D"/>
    <w:rsid w:val="00447815"/>
    <w:rsid w:val="00447865"/>
    <w:rsid w:val="00447C3C"/>
    <w:rsid w:val="004512A4"/>
    <w:rsid w:val="004523EE"/>
    <w:rsid w:val="00452CF5"/>
    <w:rsid w:val="00454C3B"/>
    <w:rsid w:val="00455D61"/>
    <w:rsid w:val="00455FE8"/>
    <w:rsid w:val="0045688A"/>
    <w:rsid w:val="00456C23"/>
    <w:rsid w:val="004574D4"/>
    <w:rsid w:val="0046099F"/>
    <w:rsid w:val="004614CD"/>
    <w:rsid w:val="004621A5"/>
    <w:rsid w:val="00463AB9"/>
    <w:rsid w:val="004666C8"/>
    <w:rsid w:val="00467430"/>
    <w:rsid w:val="00467A00"/>
    <w:rsid w:val="00467B72"/>
    <w:rsid w:val="0047138D"/>
    <w:rsid w:val="00472C71"/>
    <w:rsid w:val="00473429"/>
    <w:rsid w:val="00475C34"/>
    <w:rsid w:val="00476DEB"/>
    <w:rsid w:val="00476EFC"/>
    <w:rsid w:val="004772B2"/>
    <w:rsid w:val="00477C03"/>
    <w:rsid w:val="00477C5F"/>
    <w:rsid w:val="00480BDA"/>
    <w:rsid w:val="00480D87"/>
    <w:rsid w:val="004814CD"/>
    <w:rsid w:val="00482648"/>
    <w:rsid w:val="00482F80"/>
    <w:rsid w:val="00483E87"/>
    <w:rsid w:val="00484B3E"/>
    <w:rsid w:val="00485427"/>
    <w:rsid w:val="004856C3"/>
    <w:rsid w:val="00486222"/>
    <w:rsid w:val="004866BE"/>
    <w:rsid w:val="004905A9"/>
    <w:rsid w:val="004925BC"/>
    <w:rsid w:val="0049350B"/>
    <w:rsid w:val="00494BBC"/>
    <w:rsid w:val="00495FAB"/>
    <w:rsid w:val="0049795A"/>
    <w:rsid w:val="004A17FD"/>
    <w:rsid w:val="004A1AA6"/>
    <w:rsid w:val="004A305D"/>
    <w:rsid w:val="004A424D"/>
    <w:rsid w:val="004A4539"/>
    <w:rsid w:val="004A458D"/>
    <w:rsid w:val="004A604C"/>
    <w:rsid w:val="004A796B"/>
    <w:rsid w:val="004A7AC6"/>
    <w:rsid w:val="004B034D"/>
    <w:rsid w:val="004B1E38"/>
    <w:rsid w:val="004B2EEC"/>
    <w:rsid w:val="004B2FAF"/>
    <w:rsid w:val="004B43F1"/>
    <w:rsid w:val="004B7CE2"/>
    <w:rsid w:val="004B7DC0"/>
    <w:rsid w:val="004C3624"/>
    <w:rsid w:val="004C603D"/>
    <w:rsid w:val="004C6543"/>
    <w:rsid w:val="004C75A1"/>
    <w:rsid w:val="004C7F59"/>
    <w:rsid w:val="004D030A"/>
    <w:rsid w:val="004D21A4"/>
    <w:rsid w:val="004D2430"/>
    <w:rsid w:val="004D286F"/>
    <w:rsid w:val="004D3637"/>
    <w:rsid w:val="004D3893"/>
    <w:rsid w:val="004D4FFD"/>
    <w:rsid w:val="004D5F00"/>
    <w:rsid w:val="004E0938"/>
    <w:rsid w:val="004E0F63"/>
    <w:rsid w:val="004E1C5F"/>
    <w:rsid w:val="004E4166"/>
    <w:rsid w:val="004E42A0"/>
    <w:rsid w:val="004E4EA7"/>
    <w:rsid w:val="004E5009"/>
    <w:rsid w:val="004E6F79"/>
    <w:rsid w:val="004E795E"/>
    <w:rsid w:val="004F05E8"/>
    <w:rsid w:val="004F1814"/>
    <w:rsid w:val="004F3BE1"/>
    <w:rsid w:val="004F3C17"/>
    <w:rsid w:val="004F46AD"/>
    <w:rsid w:val="00500BB7"/>
    <w:rsid w:val="0050107D"/>
    <w:rsid w:val="0050143C"/>
    <w:rsid w:val="0050305C"/>
    <w:rsid w:val="00503354"/>
    <w:rsid w:val="0050356D"/>
    <w:rsid w:val="0050540E"/>
    <w:rsid w:val="00507941"/>
    <w:rsid w:val="00510C83"/>
    <w:rsid w:val="00511CF6"/>
    <w:rsid w:val="00512CAF"/>
    <w:rsid w:val="00515629"/>
    <w:rsid w:val="00515767"/>
    <w:rsid w:val="00515C59"/>
    <w:rsid w:val="00520035"/>
    <w:rsid w:val="005214DC"/>
    <w:rsid w:val="00521F9A"/>
    <w:rsid w:val="00522366"/>
    <w:rsid w:val="005240A3"/>
    <w:rsid w:val="00524D44"/>
    <w:rsid w:val="00525AA6"/>
    <w:rsid w:val="00525B71"/>
    <w:rsid w:val="00526C74"/>
    <w:rsid w:val="00527CA9"/>
    <w:rsid w:val="005300B2"/>
    <w:rsid w:val="0053353A"/>
    <w:rsid w:val="00533984"/>
    <w:rsid w:val="0053406F"/>
    <w:rsid w:val="00534817"/>
    <w:rsid w:val="00534CAE"/>
    <w:rsid w:val="00535950"/>
    <w:rsid w:val="00536ADF"/>
    <w:rsid w:val="00537985"/>
    <w:rsid w:val="005379E9"/>
    <w:rsid w:val="00537F5C"/>
    <w:rsid w:val="0054138C"/>
    <w:rsid w:val="00541498"/>
    <w:rsid w:val="005425AC"/>
    <w:rsid w:val="005444BB"/>
    <w:rsid w:val="00545634"/>
    <w:rsid w:val="00545A60"/>
    <w:rsid w:val="0054671F"/>
    <w:rsid w:val="00550245"/>
    <w:rsid w:val="00550A28"/>
    <w:rsid w:val="005520CE"/>
    <w:rsid w:val="00552291"/>
    <w:rsid w:val="00552D5C"/>
    <w:rsid w:val="005538E3"/>
    <w:rsid w:val="00554299"/>
    <w:rsid w:val="005549CD"/>
    <w:rsid w:val="00554D6F"/>
    <w:rsid w:val="00560015"/>
    <w:rsid w:val="00560D5C"/>
    <w:rsid w:val="0056201B"/>
    <w:rsid w:val="0056248E"/>
    <w:rsid w:val="005626AC"/>
    <w:rsid w:val="00563434"/>
    <w:rsid w:val="00563FF8"/>
    <w:rsid w:val="005646A3"/>
    <w:rsid w:val="00566B49"/>
    <w:rsid w:val="005671CC"/>
    <w:rsid w:val="00570444"/>
    <w:rsid w:val="00570B84"/>
    <w:rsid w:val="00571971"/>
    <w:rsid w:val="0057233C"/>
    <w:rsid w:val="005725A6"/>
    <w:rsid w:val="00572812"/>
    <w:rsid w:val="00572CEB"/>
    <w:rsid w:val="005761F2"/>
    <w:rsid w:val="005769B9"/>
    <w:rsid w:val="00577F9F"/>
    <w:rsid w:val="00580CA4"/>
    <w:rsid w:val="00580FBE"/>
    <w:rsid w:val="00583E34"/>
    <w:rsid w:val="00583E8A"/>
    <w:rsid w:val="00584B20"/>
    <w:rsid w:val="005857E1"/>
    <w:rsid w:val="00591A30"/>
    <w:rsid w:val="0059253F"/>
    <w:rsid w:val="00592F63"/>
    <w:rsid w:val="00594691"/>
    <w:rsid w:val="005946FA"/>
    <w:rsid w:val="00594B59"/>
    <w:rsid w:val="00596D7A"/>
    <w:rsid w:val="00596EDF"/>
    <w:rsid w:val="005975D0"/>
    <w:rsid w:val="00597EF8"/>
    <w:rsid w:val="005A0DA7"/>
    <w:rsid w:val="005A1564"/>
    <w:rsid w:val="005A169E"/>
    <w:rsid w:val="005A1733"/>
    <w:rsid w:val="005A1B3C"/>
    <w:rsid w:val="005A29C1"/>
    <w:rsid w:val="005A32BA"/>
    <w:rsid w:val="005A37A8"/>
    <w:rsid w:val="005A44AA"/>
    <w:rsid w:val="005A7DF4"/>
    <w:rsid w:val="005B1C05"/>
    <w:rsid w:val="005B2012"/>
    <w:rsid w:val="005B2CBE"/>
    <w:rsid w:val="005B3A52"/>
    <w:rsid w:val="005B45A0"/>
    <w:rsid w:val="005B4A53"/>
    <w:rsid w:val="005B54C2"/>
    <w:rsid w:val="005B65AC"/>
    <w:rsid w:val="005B7B2E"/>
    <w:rsid w:val="005C09FA"/>
    <w:rsid w:val="005C2084"/>
    <w:rsid w:val="005C4E3E"/>
    <w:rsid w:val="005C5192"/>
    <w:rsid w:val="005C5874"/>
    <w:rsid w:val="005C5A5F"/>
    <w:rsid w:val="005C5BCF"/>
    <w:rsid w:val="005D00B8"/>
    <w:rsid w:val="005D0A77"/>
    <w:rsid w:val="005D2801"/>
    <w:rsid w:val="005D2880"/>
    <w:rsid w:val="005D324E"/>
    <w:rsid w:val="005D3D18"/>
    <w:rsid w:val="005D3DA8"/>
    <w:rsid w:val="005D46D4"/>
    <w:rsid w:val="005D483D"/>
    <w:rsid w:val="005D4A6F"/>
    <w:rsid w:val="005D5239"/>
    <w:rsid w:val="005D7E57"/>
    <w:rsid w:val="005E0922"/>
    <w:rsid w:val="005E1A15"/>
    <w:rsid w:val="005E4A0F"/>
    <w:rsid w:val="005E5C6A"/>
    <w:rsid w:val="005E5F6F"/>
    <w:rsid w:val="005E6C3C"/>
    <w:rsid w:val="005E6D3E"/>
    <w:rsid w:val="005E742B"/>
    <w:rsid w:val="005F0C13"/>
    <w:rsid w:val="005F2D25"/>
    <w:rsid w:val="005F54E6"/>
    <w:rsid w:val="005F6D8E"/>
    <w:rsid w:val="00600874"/>
    <w:rsid w:val="00600928"/>
    <w:rsid w:val="00601628"/>
    <w:rsid w:val="00601659"/>
    <w:rsid w:val="00601B22"/>
    <w:rsid w:val="00602E93"/>
    <w:rsid w:val="00602F54"/>
    <w:rsid w:val="00602FDE"/>
    <w:rsid w:val="00603A45"/>
    <w:rsid w:val="00603D92"/>
    <w:rsid w:val="0060460A"/>
    <w:rsid w:val="00605F76"/>
    <w:rsid w:val="0060646E"/>
    <w:rsid w:val="00606E0C"/>
    <w:rsid w:val="006103E4"/>
    <w:rsid w:val="0061179D"/>
    <w:rsid w:val="0061235E"/>
    <w:rsid w:val="00612AEB"/>
    <w:rsid w:val="00613BA7"/>
    <w:rsid w:val="00614467"/>
    <w:rsid w:val="00615FFD"/>
    <w:rsid w:val="0061669E"/>
    <w:rsid w:val="006227F2"/>
    <w:rsid w:val="00622C18"/>
    <w:rsid w:val="00623228"/>
    <w:rsid w:val="00624261"/>
    <w:rsid w:val="00624653"/>
    <w:rsid w:val="00625807"/>
    <w:rsid w:val="0063001D"/>
    <w:rsid w:val="00630336"/>
    <w:rsid w:val="0063043F"/>
    <w:rsid w:val="006319F4"/>
    <w:rsid w:val="0063280B"/>
    <w:rsid w:val="006342E5"/>
    <w:rsid w:val="00635979"/>
    <w:rsid w:val="00635D22"/>
    <w:rsid w:val="00635DBD"/>
    <w:rsid w:val="00645028"/>
    <w:rsid w:val="00647650"/>
    <w:rsid w:val="00651153"/>
    <w:rsid w:val="006522BD"/>
    <w:rsid w:val="006525A7"/>
    <w:rsid w:val="006528B6"/>
    <w:rsid w:val="00652CB3"/>
    <w:rsid w:val="0065500B"/>
    <w:rsid w:val="00655F8C"/>
    <w:rsid w:val="0066010B"/>
    <w:rsid w:val="00660E7B"/>
    <w:rsid w:val="00661483"/>
    <w:rsid w:val="00661AD4"/>
    <w:rsid w:val="00662E02"/>
    <w:rsid w:val="00663AA4"/>
    <w:rsid w:val="00664046"/>
    <w:rsid w:val="0066493A"/>
    <w:rsid w:val="00666F59"/>
    <w:rsid w:val="0066708C"/>
    <w:rsid w:val="00667A72"/>
    <w:rsid w:val="00667D57"/>
    <w:rsid w:val="006703BB"/>
    <w:rsid w:val="006708D8"/>
    <w:rsid w:val="00670D64"/>
    <w:rsid w:val="00671105"/>
    <w:rsid w:val="00671CEA"/>
    <w:rsid w:val="00671D46"/>
    <w:rsid w:val="00671DAC"/>
    <w:rsid w:val="0067232F"/>
    <w:rsid w:val="00673E01"/>
    <w:rsid w:val="00674094"/>
    <w:rsid w:val="006741F0"/>
    <w:rsid w:val="00674900"/>
    <w:rsid w:val="0067491D"/>
    <w:rsid w:val="0067712D"/>
    <w:rsid w:val="006779DD"/>
    <w:rsid w:val="00677A7C"/>
    <w:rsid w:val="00680123"/>
    <w:rsid w:val="00682DBE"/>
    <w:rsid w:val="00685D29"/>
    <w:rsid w:val="006868F7"/>
    <w:rsid w:val="00686C50"/>
    <w:rsid w:val="0068737D"/>
    <w:rsid w:val="006901CD"/>
    <w:rsid w:val="006906B1"/>
    <w:rsid w:val="0069190F"/>
    <w:rsid w:val="0069204E"/>
    <w:rsid w:val="00692FD3"/>
    <w:rsid w:val="0069391A"/>
    <w:rsid w:val="00694F20"/>
    <w:rsid w:val="006A01DA"/>
    <w:rsid w:val="006A1A20"/>
    <w:rsid w:val="006A2E56"/>
    <w:rsid w:val="006A3260"/>
    <w:rsid w:val="006A33F3"/>
    <w:rsid w:val="006A418F"/>
    <w:rsid w:val="006A4332"/>
    <w:rsid w:val="006A470F"/>
    <w:rsid w:val="006A4D8B"/>
    <w:rsid w:val="006A5096"/>
    <w:rsid w:val="006A51F6"/>
    <w:rsid w:val="006A5298"/>
    <w:rsid w:val="006A5767"/>
    <w:rsid w:val="006A6AA7"/>
    <w:rsid w:val="006B1C0B"/>
    <w:rsid w:val="006B340F"/>
    <w:rsid w:val="006B3DF7"/>
    <w:rsid w:val="006B5417"/>
    <w:rsid w:val="006B57C2"/>
    <w:rsid w:val="006B7466"/>
    <w:rsid w:val="006C01FD"/>
    <w:rsid w:val="006C1ED9"/>
    <w:rsid w:val="006C2E45"/>
    <w:rsid w:val="006C3A14"/>
    <w:rsid w:val="006C3DAA"/>
    <w:rsid w:val="006C46A6"/>
    <w:rsid w:val="006C481D"/>
    <w:rsid w:val="006C498B"/>
    <w:rsid w:val="006C5FD0"/>
    <w:rsid w:val="006C7AB9"/>
    <w:rsid w:val="006D0039"/>
    <w:rsid w:val="006D0403"/>
    <w:rsid w:val="006D0918"/>
    <w:rsid w:val="006D17F8"/>
    <w:rsid w:val="006D1F49"/>
    <w:rsid w:val="006D3D09"/>
    <w:rsid w:val="006D3F9E"/>
    <w:rsid w:val="006D4E78"/>
    <w:rsid w:val="006D524E"/>
    <w:rsid w:val="006D56E9"/>
    <w:rsid w:val="006D57E5"/>
    <w:rsid w:val="006D5B1D"/>
    <w:rsid w:val="006D63E7"/>
    <w:rsid w:val="006D65E2"/>
    <w:rsid w:val="006E28EE"/>
    <w:rsid w:val="006E3060"/>
    <w:rsid w:val="006E372B"/>
    <w:rsid w:val="006E38D4"/>
    <w:rsid w:val="006E44D7"/>
    <w:rsid w:val="006E4EB9"/>
    <w:rsid w:val="006E5A72"/>
    <w:rsid w:val="006E6084"/>
    <w:rsid w:val="006E66A8"/>
    <w:rsid w:val="006E6B0D"/>
    <w:rsid w:val="006E75F5"/>
    <w:rsid w:val="006F1E6F"/>
    <w:rsid w:val="006F2155"/>
    <w:rsid w:val="006F3DF1"/>
    <w:rsid w:val="006F51F5"/>
    <w:rsid w:val="006F75C3"/>
    <w:rsid w:val="006F7F5A"/>
    <w:rsid w:val="0070086B"/>
    <w:rsid w:val="00700AAE"/>
    <w:rsid w:val="007012D2"/>
    <w:rsid w:val="007021E0"/>
    <w:rsid w:val="00703414"/>
    <w:rsid w:val="0070450E"/>
    <w:rsid w:val="0070515E"/>
    <w:rsid w:val="007058B0"/>
    <w:rsid w:val="0070677F"/>
    <w:rsid w:val="00707E3D"/>
    <w:rsid w:val="00710766"/>
    <w:rsid w:val="00712039"/>
    <w:rsid w:val="00712825"/>
    <w:rsid w:val="00712982"/>
    <w:rsid w:val="00713041"/>
    <w:rsid w:val="0072076A"/>
    <w:rsid w:val="0072200C"/>
    <w:rsid w:val="0072318A"/>
    <w:rsid w:val="007243F4"/>
    <w:rsid w:val="00724E39"/>
    <w:rsid w:val="007262B1"/>
    <w:rsid w:val="007274CD"/>
    <w:rsid w:val="007277D3"/>
    <w:rsid w:val="0073026E"/>
    <w:rsid w:val="007303EA"/>
    <w:rsid w:val="00730812"/>
    <w:rsid w:val="00732819"/>
    <w:rsid w:val="007332D6"/>
    <w:rsid w:val="00733B44"/>
    <w:rsid w:val="007361FB"/>
    <w:rsid w:val="007366D6"/>
    <w:rsid w:val="00740010"/>
    <w:rsid w:val="0074039C"/>
    <w:rsid w:val="00741649"/>
    <w:rsid w:val="00743A0E"/>
    <w:rsid w:val="00745541"/>
    <w:rsid w:val="00746287"/>
    <w:rsid w:val="00747B00"/>
    <w:rsid w:val="007501F8"/>
    <w:rsid w:val="00750A8A"/>
    <w:rsid w:val="00751981"/>
    <w:rsid w:val="00751FBD"/>
    <w:rsid w:val="007540BB"/>
    <w:rsid w:val="007542D5"/>
    <w:rsid w:val="0075516D"/>
    <w:rsid w:val="00756023"/>
    <w:rsid w:val="007578B1"/>
    <w:rsid w:val="00760D39"/>
    <w:rsid w:val="00761990"/>
    <w:rsid w:val="00761C20"/>
    <w:rsid w:val="007621BA"/>
    <w:rsid w:val="00762589"/>
    <w:rsid w:val="00763DD5"/>
    <w:rsid w:val="0076429B"/>
    <w:rsid w:val="007650F1"/>
    <w:rsid w:val="00765820"/>
    <w:rsid w:val="00767146"/>
    <w:rsid w:val="00767CB3"/>
    <w:rsid w:val="00770491"/>
    <w:rsid w:val="00770ADB"/>
    <w:rsid w:val="00770D9D"/>
    <w:rsid w:val="007715AF"/>
    <w:rsid w:val="007726F9"/>
    <w:rsid w:val="00775D5E"/>
    <w:rsid w:val="0077698E"/>
    <w:rsid w:val="007823A0"/>
    <w:rsid w:val="00782C90"/>
    <w:rsid w:val="00782CCF"/>
    <w:rsid w:val="00782D96"/>
    <w:rsid w:val="007835C8"/>
    <w:rsid w:val="00783F49"/>
    <w:rsid w:val="00784874"/>
    <w:rsid w:val="00784CDC"/>
    <w:rsid w:val="00784FA3"/>
    <w:rsid w:val="00785202"/>
    <w:rsid w:val="0078643B"/>
    <w:rsid w:val="00786AAE"/>
    <w:rsid w:val="00786AC3"/>
    <w:rsid w:val="00786AFB"/>
    <w:rsid w:val="0078779E"/>
    <w:rsid w:val="00790F1C"/>
    <w:rsid w:val="0079474F"/>
    <w:rsid w:val="00795C36"/>
    <w:rsid w:val="00796438"/>
    <w:rsid w:val="00796F20"/>
    <w:rsid w:val="007A0D57"/>
    <w:rsid w:val="007A1174"/>
    <w:rsid w:val="007A13A1"/>
    <w:rsid w:val="007A1E1C"/>
    <w:rsid w:val="007A22D7"/>
    <w:rsid w:val="007A2C50"/>
    <w:rsid w:val="007A3973"/>
    <w:rsid w:val="007A4890"/>
    <w:rsid w:val="007A4DDE"/>
    <w:rsid w:val="007A750D"/>
    <w:rsid w:val="007B0645"/>
    <w:rsid w:val="007B0D3C"/>
    <w:rsid w:val="007B20B3"/>
    <w:rsid w:val="007B262B"/>
    <w:rsid w:val="007B3629"/>
    <w:rsid w:val="007B46E0"/>
    <w:rsid w:val="007B47CA"/>
    <w:rsid w:val="007B538E"/>
    <w:rsid w:val="007B69E3"/>
    <w:rsid w:val="007C1FEA"/>
    <w:rsid w:val="007C23A0"/>
    <w:rsid w:val="007C3055"/>
    <w:rsid w:val="007C3987"/>
    <w:rsid w:val="007C4A25"/>
    <w:rsid w:val="007C57E8"/>
    <w:rsid w:val="007D0228"/>
    <w:rsid w:val="007D1B0C"/>
    <w:rsid w:val="007D1B29"/>
    <w:rsid w:val="007D1F83"/>
    <w:rsid w:val="007D26FB"/>
    <w:rsid w:val="007D2C03"/>
    <w:rsid w:val="007D3817"/>
    <w:rsid w:val="007D39AF"/>
    <w:rsid w:val="007D4596"/>
    <w:rsid w:val="007D5A35"/>
    <w:rsid w:val="007D5E9B"/>
    <w:rsid w:val="007D63A5"/>
    <w:rsid w:val="007D6D1A"/>
    <w:rsid w:val="007E048A"/>
    <w:rsid w:val="007E0CE7"/>
    <w:rsid w:val="007E1D34"/>
    <w:rsid w:val="007E1E11"/>
    <w:rsid w:val="007E231D"/>
    <w:rsid w:val="007E4675"/>
    <w:rsid w:val="007E495A"/>
    <w:rsid w:val="007E59BC"/>
    <w:rsid w:val="007E5ED4"/>
    <w:rsid w:val="007E60E6"/>
    <w:rsid w:val="007E6985"/>
    <w:rsid w:val="007E6AC0"/>
    <w:rsid w:val="007E7AC4"/>
    <w:rsid w:val="007F28FF"/>
    <w:rsid w:val="007F32E0"/>
    <w:rsid w:val="007F3956"/>
    <w:rsid w:val="007F395B"/>
    <w:rsid w:val="007F4921"/>
    <w:rsid w:val="007F506A"/>
    <w:rsid w:val="007F63E4"/>
    <w:rsid w:val="007F762A"/>
    <w:rsid w:val="0080143C"/>
    <w:rsid w:val="00802498"/>
    <w:rsid w:val="00803ED3"/>
    <w:rsid w:val="008047EF"/>
    <w:rsid w:val="00805172"/>
    <w:rsid w:val="00806451"/>
    <w:rsid w:val="00806EB8"/>
    <w:rsid w:val="00806EDF"/>
    <w:rsid w:val="00807ED5"/>
    <w:rsid w:val="00811874"/>
    <w:rsid w:val="008138C3"/>
    <w:rsid w:val="00814474"/>
    <w:rsid w:val="00814C85"/>
    <w:rsid w:val="008154CB"/>
    <w:rsid w:val="00815A48"/>
    <w:rsid w:val="00815BC4"/>
    <w:rsid w:val="00817643"/>
    <w:rsid w:val="00817DF5"/>
    <w:rsid w:val="0082070C"/>
    <w:rsid w:val="008210FF"/>
    <w:rsid w:val="008212B8"/>
    <w:rsid w:val="00822134"/>
    <w:rsid w:val="00823A19"/>
    <w:rsid w:val="00825947"/>
    <w:rsid w:val="00826A32"/>
    <w:rsid w:val="00826A78"/>
    <w:rsid w:val="00827790"/>
    <w:rsid w:val="008306B9"/>
    <w:rsid w:val="00830873"/>
    <w:rsid w:val="008318AB"/>
    <w:rsid w:val="00832EB9"/>
    <w:rsid w:val="008334FF"/>
    <w:rsid w:val="00834E89"/>
    <w:rsid w:val="00835965"/>
    <w:rsid w:val="00835F7F"/>
    <w:rsid w:val="00840027"/>
    <w:rsid w:val="008408CD"/>
    <w:rsid w:val="0084145B"/>
    <w:rsid w:val="0084333E"/>
    <w:rsid w:val="00843800"/>
    <w:rsid w:val="00845AFD"/>
    <w:rsid w:val="00846A99"/>
    <w:rsid w:val="00850F7C"/>
    <w:rsid w:val="00852462"/>
    <w:rsid w:val="00854D87"/>
    <w:rsid w:val="0086068F"/>
    <w:rsid w:val="00861210"/>
    <w:rsid w:val="008619B2"/>
    <w:rsid w:val="00861DAB"/>
    <w:rsid w:val="00862311"/>
    <w:rsid w:val="00863351"/>
    <w:rsid w:val="008635B8"/>
    <w:rsid w:val="00863B2F"/>
    <w:rsid w:val="00863EBD"/>
    <w:rsid w:val="00864441"/>
    <w:rsid w:val="00865F68"/>
    <w:rsid w:val="00866C00"/>
    <w:rsid w:val="00866F94"/>
    <w:rsid w:val="0086774F"/>
    <w:rsid w:val="008703DD"/>
    <w:rsid w:val="00873EC5"/>
    <w:rsid w:val="008753D9"/>
    <w:rsid w:val="00875A96"/>
    <w:rsid w:val="00875C07"/>
    <w:rsid w:val="008769A9"/>
    <w:rsid w:val="00880AB0"/>
    <w:rsid w:val="008818C3"/>
    <w:rsid w:val="00884DAF"/>
    <w:rsid w:val="00884E2C"/>
    <w:rsid w:val="0088504E"/>
    <w:rsid w:val="00885F2C"/>
    <w:rsid w:val="00886CCB"/>
    <w:rsid w:val="0089070A"/>
    <w:rsid w:val="008907B0"/>
    <w:rsid w:val="00894175"/>
    <w:rsid w:val="00894A52"/>
    <w:rsid w:val="00894DC9"/>
    <w:rsid w:val="0089578A"/>
    <w:rsid w:val="00895941"/>
    <w:rsid w:val="008966E6"/>
    <w:rsid w:val="008A065A"/>
    <w:rsid w:val="008A0DCE"/>
    <w:rsid w:val="008A2E33"/>
    <w:rsid w:val="008A369C"/>
    <w:rsid w:val="008A44B6"/>
    <w:rsid w:val="008A528B"/>
    <w:rsid w:val="008A5611"/>
    <w:rsid w:val="008A6E90"/>
    <w:rsid w:val="008A6E96"/>
    <w:rsid w:val="008B23CF"/>
    <w:rsid w:val="008B3992"/>
    <w:rsid w:val="008B3D33"/>
    <w:rsid w:val="008B6224"/>
    <w:rsid w:val="008B63C2"/>
    <w:rsid w:val="008B7457"/>
    <w:rsid w:val="008C0763"/>
    <w:rsid w:val="008C1985"/>
    <w:rsid w:val="008C1C42"/>
    <w:rsid w:val="008C2593"/>
    <w:rsid w:val="008C2725"/>
    <w:rsid w:val="008C3940"/>
    <w:rsid w:val="008C3E54"/>
    <w:rsid w:val="008C58E3"/>
    <w:rsid w:val="008C675C"/>
    <w:rsid w:val="008C7319"/>
    <w:rsid w:val="008C7984"/>
    <w:rsid w:val="008D0DE5"/>
    <w:rsid w:val="008D0DEE"/>
    <w:rsid w:val="008D0EFC"/>
    <w:rsid w:val="008D12C4"/>
    <w:rsid w:val="008D14D1"/>
    <w:rsid w:val="008D1D23"/>
    <w:rsid w:val="008D2FE5"/>
    <w:rsid w:val="008D3009"/>
    <w:rsid w:val="008D3C33"/>
    <w:rsid w:val="008D5405"/>
    <w:rsid w:val="008D572B"/>
    <w:rsid w:val="008D5A48"/>
    <w:rsid w:val="008D74B2"/>
    <w:rsid w:val="008D7EE5"/>
    <w:rsid w:val="008D7EF6"/>
    <w:rsid w:val="008E19C0"/>
    <w:rsid w:val="008E1A11"/>
    <w:rsid w:val="008E279D"/>
    <w:rsid w:val="008E3945"/>
    <w:rsid w:val="008E47A0"/>
    <w:rsid w:val="008E4A46"/>
    <w:rsid w:val="008E4D4E"/>
    <w:rsid w:val="008E4ECF"/>
    <w:rsid w:val="008E5566"/>
    <w:rsid w:val="008E56B2"/>
    <w:rsid w:val="008E58B9"/>
    <w:rsid w:val="008E5DED"/>
    <w:rsid w:val="008E66D9"/>
    <w:rsid w:val="008E6B44"/>
    <w:rsid w:val="008E6FA7"/>
    <w:rsid w:val="008F0982"/>
    <w:rsid w:val="008F14BA"/>
    <w:rsid w:val="008F2973"/>
    <w:rsid w:val="008F2E61"/>
    <w:rsid w:val="008F3774"/>
    <w:rsid w:val="008F4541"/>
    <w:rsid w:val="008F7718"/>
    <w:rsid w:val="00900242"/>
    <w:rsid w:val="00900793"/>
    <w:rsid w:val="00901027"/>
    <w:rsid w:val="00904B6A"/>
    <w:rsid w:val="00904E22"/>
    <w:rsid w:val="00904EEF"/>
    <w:rsid w:val="009131C8"/>
    <w:rsid w:val="00914AC0"/>
    <w:rsid w:val="00915341"/>
    <w:rsid w:val="00916098"/>
    <w:rsid w:val="00916384"/>
    <w:rsid w:val="00920357"/>
    <w:rsid w:val="00920DF7"/>
    <w:rsid w:val="00921046"/>
    <w:rsid w:val="009219CD"/>
    <w:rsid w:val="00921B20"/>
    <w:rsid w:val="00921D25"/>
    <w:rsid w:val="00922718"/>
    <w:rsid w:val="00922FCA"/>
    <w:rsid w:val="009235FB"/>
    <w:rsid w:val="0092485D"/>
    <w:rsid w:val="0092639F"/>
    <w:rsid w:val="00926C24"/>
    <w:rsid w:val="00926D60"/>
    <w:rsid w:val="009306B0"/>
    <w:rsid w:val="00930744"/>
    <w:rsid w:val="00931193"/>
    <w:rsid w:val="009328EE"/>
    <w:rsid w:val="009335C5"/>
    <w:rsid w:val="0093483B"/>
    <w:rsid w:val="00934C01"/>
    <w:rsid w:val="00936CC2"/>
    <w:rsid w:val="00943C35"/>
    <w:rsid w:val="00945921"/>
    <w:rsid w:val="0094728C"/>
    <w:rsid w:val="00947A12"/>
    <w:rsid w:val="00950A38"/>
    <w:rsid w:val="00951A02"/>
    <w:rsid w:val="009520F0"/>
    <w:rsid w:val="00953A53"/>
    <w:rsid w:val="00954D14"/>
    <w:rsid w:val="00955C72"/>
    <w:rsid w:val="00956BA4"/>
    <w:rsid w:val="00956E86"/>
    <w:rsid w:val="00956F13"/>
    <w:rsid w:val="00957449"/>
    <w:rsid w:val="00957B1C"/>
    <w:rsid w:val="00960A6F"/>
    <w:rsid w:val="009616F4"/>
    <w:rsid w:val="00961B45"/>
    <w:rsid w:val="00962219"/>
    <w:rsid w:val="00963B15"/>
    <w:rsid w:val="00964511"/>
    <w:rsid w:val="00964A5B"/>
    <w:rsid w:val="009660EA"/>
    <w:rsid w:val="0096631E"/>
    <w:rsid w:val="00967681"/>
    <w:rsid w:val="00967AB3"/>
    <w:rsid w:val="00970CB3"/>
    <w:rsid w:val="00971289"/>
    <w:rsid w:val="00971460"/>
    <w:rsid w:val="00971681"/>
    <w:rsid w:val="00972CC1"/>
    <w:rsid w:val="009736D3"/>
    <w:rsid w:val="00973EBF"/>
    <w:rsid w:val="00974658"/>
    <w:rsid w:val="00976C47"/>
    <w:rsid w:val="0098065F"/>
    <w:rsid w:val="00980E57"/>
    <w:rsid w:val="0098144F"/>
    <w:rsid w:val="00982187"/>
    <w:rsid w:val="0098427D"/>
    <w:rsid w:val="00984D0E"/>
    <w:rsid w:val="00984FFB"/>
    <w:rsid w:val="00986022"/>
    <w:rsid w:val="009864CD"/>
    <w:rsid w:val="009867AA"/>
    <w:rsid w:val="00986AB7"/>
    <w:rsid w:val="0098740C"/>
    <w:rsid w:val="0098797E"/>
    <w:rsid w:val="009905D4"/>
    <w:rsid w:val="00990B86"/>
    <w:rsid w:val="0099137D"/>
    <w:rsid w:val="00991502"/>
    <w:rsid w:val="0099151B"/>
    <w:rsid w:val="00991649"/>
    <w:rsid w:val="009934E7"/>
    <w:rsid w:val="009942D6"/>
    <w:rsid w:val="00994369"/>
    <w:rsid w:val="00994A18"/>
    <w:rsid w:val="00995231"/>
    <w:rsid w:val="009965D9"/>
    <w:rsid w:val="00996663"/>
    <w:rsid w:val="00996DC3"/>
    <w:rsid w:val="00996DCF"/>
    <w:rsid w:val="009970F1"/>
    <w:rsid w:val="00997B64"/>
    <w:rsid w:val="009A1BE1"/>
    <w:rsid w:val="009A249B"/>
    <w:rsid w:val="009A30D4"/>
    <w:rsid w:val="009A3BC7"/>
    <w:rsid w:val="009A4682"/>
    <w:rsid w:val="009A4BF6"/>
    <w:rsid w:val="009A4CB7"/>
    <w:rsid w:val="009A4E72"/>
    <w:rsid w:val="009A7C17"/>
    <w:rsid w:val="009A7CA6"/>
    <w:rsid w:val="009B01AF"/>
    <w:rsid w:val="009B06DF"/>
    <w:rsid w:val="009B456F"/>
    <w:rsid w:val="009B61C6"/>
    <w:rsid w:val="009B71CE"/>
    <w:rsid w:val="009B7DA7"/>
    <w:rsid w:val="009C09EC"/>
    <w:rsid w:val="009C2B89"/>
    <w:rsid w:val="009C3037"/>
    <w:rsid w:val="009C3394"/>
    <w:rsid w:val="009C34C8"/>
    <w:rsid w:val="009C3A28"/>
    <w:rsid w:val="009C3A3F"/>
    <w:rsid w:val="009C3AD1"/>
    <w:rsid w:val="009C3ADC"/>
    <w:rsid w:val="009C4284"/>
    <w:rsid w:val="009C4407"/>
    <w:rsid w:val="009C497F"/>
    <w:rsid w:val="009C51C7"/>
    <w:rsid w:val="009C6963"/>
    <w:rsid w:val="009C6BE5"/>
    <w:rsid w:val="009C73BE"/>
    <w:rsid w:val="009D008F"/>
    <w:rsid w:val="009D0BCA"/>
    <w:rsid w:val="009D0F51"/>
    <w:rsid w:val="009D0FD1"/>
    <w:rsid w:val="009D1E24"/>
    <w:rsid w:val="009D213F"/>
    <w:rsid w:val="009D247B"/>
    <w:rsid w:val="009D2A3F"/>
    <w:rsid w:val="009D3B05"/>
    <w:rsid w:val="009D555C"/>
    <w:rsid w:val="009D6306"/>
    <w:rsid w:val="009D6C8A"/>
    <w:rsid w:val="009D6F6A"/>
    <w:rsid w:val="009D758E"/>
    <w:rsid w:val="009D78D4"/>
    <w:rsid w:val="009D7B63"/>
    <w:rsid w:val="009E0ECD"/>
    <w:rsid w:val="009E1254"/>
    <w:rsid w:val="009E16AF"/>
    <w:rsid w:val="009E17A0"/>
    <w:rsid w:val="009E1A2D"/>
    <w:rsid w:val="009E1A70"/>
    <w:rsid w:val="009E3171"/>
    <w:rsid w:val="009E3903"/>
    <w:rsid w:val="009E3A88"/>
    <w:rsid w:val="009E4666"/>
    <w:rsid w:val="009E50EE"/>
    <w:rsid w:val="009E6025"/>
    <w:rsid w:val="009E6902"/>
    <w:rsid w:val="009E69D6"/>
    <w:rsid w:val="009E7022"/>
    <w:rsid w:val="009E7E2D"/>
    <w:rsid w:val="009F05DB"/>
    <w:rsid w:val="009F064C"/>
    <w:rsid w:val="009F1231"/>
    <w:rsid w:val="009F2316"/>
    <w:rsid w:val="009F4313"/>
    <w:rsid w:val="009F4424"/>
    <w:rsid w:val="009F4BC1"/>
    <w:rsid w:val="009F4D1F"/>
    <w:rsid w:val="009F4FBC"/>
    <w:rsid w:val="009F5D2C"/>
    <w:rsid w:val="009F624B"/>
    <w:rsid w:val="009F673D"/>
    <w:rsid w:val="009F69C7"/>
    <w:rsid w:val="009F7192"/>
    <w:rsid w:val="009F77A2"/>
    <w:rsid w:val="009F79D8"/>
    <w:rsid w:val="009F7D0D"/>
    <w:rsid w:val="00A0094D"/>
    <w:rsid w:val="00A009F5"/>
    <w:rsid w:val="00A00EA2"/>
    <w:rsid w:val="00A01509"/>
    <w:rsid w:val="00A0161A"/>
    <w:rsid w:val="00A0318C"/>
    <w:rsid w:val="00A03971"/>
    <w:rsid w:val="00A04AD3"/>
    <w:rsid w:val="00A04E7D"/>
    <w:rsid w:val="00A060D9"/>
    <w:rsid w:val="00A06B98"/>
    <w:rsid w:val="00A07C09"/>
    <w:rsid w:val="00A10875"/>
    <w:rsid w:val="00A12F2B"/>
    <w:rsid w:val="00A130B3"/>
    <w:rsid w:val="00A14534"/>
    <w:rsid w:val="00A14D4D"/>
    <w:rsid w:val="00A150FA"/>
    <w:rsid w:val="00A156BF"/>
    <w:rsid w:val="00A17161"/>
    <w:rsid w:val="00A17191"/>
    <w:rsid w:val="00A17401"/>
    <w:rsid w:val="00A175E0"/>
    <w:rsid w:val="00A20886"/>
    <w:rsid w:val="00A209E8"/>
    <w:rsid w:val="00A20AA8"/>
    <w:rsid w:val="00A21CDE"/>
    <w:rsid w:val="00A22B7D"/>
    <w:rsid w:val="00A236C6"/>
    <w:rsid w:val="00A26902"/>
    <w:rsid w:val="00A27864"/>
    <w:rsid w:val="00A302D4"/>
    <w:rsid w:val="00A30D0C"/>
    <w:rsid w:val="00A31DB6"/>
    <w:rsid w:val="00A334D5"/>
    <w:rsid w:val="00A33E73"/>
    <w:rsid w:val="00A33FE7"/>
    <w:rsid w:val="00A34225"/>
    <w:rsid w:val="00A35351"/>
    <w:rsid w:val="00A35FD5"/>
    <w:rsid w:val="00A376E7"/>
    <w:rsid w:val="00A413E8"/>
    <w:rsid w:val="00A41E27"/>
    <w:rsid w:val="00A43AD7"/>
    <w:rsid w:val="00A45249"/>
    <w:rsid w:val="00A4634D"/>
    <w:rsid w:val="00A46D97"/>
    <w:rsid w:val="00A47FE6"/>
    <w:rsid w:val="00A50759"/>
    <w:rsid w:val="00A52BC6"/>
    <w:rsid w:val="00A532D2"/>
    <w:rsid w:val="00A535CC"/>
    <w:rsid w:val="00A55367"/>
    <w:rsid w:val="00A55652"/>
    <w:rsid w:val="00A560CA"/>
    <w:rsid w:val="00A5684C"/>
    <w:rsid w:val="00A5778D"/>
    <w:rsid w:val="00A577B6"/>
    <w:rsid w:val="00A57FC9"/>
    <w:rsid w:val="00A60257"/>
    <w:rsid w:val="00A6034E"/>
    <w:rsid w:val="00A606BC"/>
    <w:rsid w:val="00A60778"/>
    <w:rsid w:val="00A6093D"/>
    <w:rsid w:val="00A621E0"/>
    <w:rsid w:val="00A628D9"/>
    <w:rsid w:val="00A62D4C"/>
    <w:rsid w:val="00A6367D"/>
    <w:rsid w:val="00A641C1"/>
    <w:rsid w:val="00A641F1"/>
    <w:rsid w:val="00A6734A"/>
    <w:rsid w:val="00A6771C"/>
    <w:rsid w:val="00A714E2"/>
    <w:rsid w:val="00A71A27"/>
    <w:rsid w:val="00A73C3A"/>
    <w:rsid w:val="00A74482"/>
    <w:rsid w:val="00A7458A"/>
    <w:rsid w:val="00A746F0"/>
    <w:rsid w:val="00A74CCA"/>
    <w:rsid w:val="00A75035"/>
    <w:rsid w:val="00A75BAC"/>
    <w:rsid w:val="00A75F26"/>
    <w:rsid w:val="00A777A9"/>
    <w:rsid w:val="00A77B90"/>
    <w:rsid w:val="00A8039E"/>
    <w:rsid w:val="00A82EA4"/>
    <w:rsid w:val="00A83777"/>
    <w:rsid w:val="00A84156"/>
    <w:rsid w:val="00A8550D"/>
    <w:rsid w:val="00A85B75"/>
    <w:rsid w:val="00A86D22"/>
    <w:rsid w:val="00A87067"/>
    <w:rsid w:val="00A91434"/>
    <w:rsid w:val="00A91618"/>
    <w:rsid w:val="00A9289B"/>
    <w:rsid w:val="00A92A9E"/>
    <w:rsid w:val="00A92F54"/>
    <w:rsid w:val="00A93271"/>
    <w:rsid w:val="00A93B72"/>
    <w:rsid w:val="00A9424F"/>
    <w:rsid w:val="00A94E08"/>
    <w:rsid w:val="00A955BF"/>
    <w:rsid w:val="00A96AC4"/>
    <w:rsid w:val="00A96F82"/>
    <w:rsid w:val="00AA025C"/>
    <w:rsid w:val="00AA09D6"/>
    <w:rsid w:val="00AA0AD4"/>
    <w:rsid w:val="00AA30F0"/>
    <w:rsid w:val="00AA3526"/>
    <w:rsid w:val="00AA39DB"/>
    <w:rsid w:val="00AA5E18"/>
    <w:rsid w:val="00AB02F2"/>
    <w:rsid w:val="00AB030A"/>
    <w:rsid w:val="00AB0993"/>
    <w:rsid w:val="00AB18B8"/>
    <w:rsid w:val="00AB2242"/>
    <w:rsid w:val="00AB2719"/>
    <w:rsid w:val="00AB2A89"/>
    <w:rsid w:val="00AB3525"/>
    <w:rsid w:val="00AB3EC8"/>
    <w:rsid w:val="00AB5220"/>
    <w:rsid w:val="00AB78FA"/>
    <w:rsid w:val="00AC0459"/>
    <w:rsid w:val="00AC0E17"/>
    <w:rsid w:val="00AC15F4"/>
    <w:rsid w:val="00AC1906"/>
    <w:rsid w:val="00AC243B"/>
    <w:rsid w:val="00AC2CF1"/>
    <w:rsid w:val="00AC5346"/>
    <w:rsid w:val="00AC53D5"/>
    <w:rsid w:val="00AC614E"/>
    <w:rsid w:val="00AC70F7"/>
    <w:rsid w:val="00AD0E5B"/>
    <w:rsid w:val="00AD1B7A"/>
    <w:rsid w:val="00AD2D05"/>
    <w:rsid w:val="00AD2D28"/>
    <w:rsid w:val="00AD3493"/>
    <w:rsid w:val="00AD4B14"/>
    <w:rsid w:val="00AD4C5C"/>
    <w:rsid w:val="00AD6BC9"/>
    <w:rsid w:val="00AD6F15"/>
    <w:rsid w:val="00AD7B77"/>
    <w:rsid w:val="00AE09C3"/>
    <w:rsid w:val="00AE0E2F"/>
    <w:rsid w:val="00AE1276"/>
    <w:rsid w:val="00AE1F9B"/>
    <w:rsid w:val="00AE3E5C"/>
    <w:rsid w:val="00AE4849"/>
    <w:rsid w:val="00AE5446"/>
    <w:rsid w:val="00AE5724"/>
    <w:rsid w:val="00AE66C3"/>
    <w:rsid w:val="00AE7123"/>
    <w:rsid w:val="00AE7139"/>
    <w:rsid w:val="00AE7CA7"/>
    <w:rsid w:val="00AF05AD"/>
    <w:rsid w:val="00AF07BD"/>
    <w:rsid w:val="00AF3557"/>
    <w:rsid w:val="00AF4136"/>
    <w:rsid w:val="00AF5734"/>
    <w:rsid w:val="00AF6805"/>
    <w:rsid w:val="00AF7336"/>
    <w:rsid w:val="00B009C9"/>
    <w:rsid w:val="00B00A4A"/>
    <w:rsid w:val="00B023C0"/>
    <w:rsid w:val="00B02B55"/>
    <w:rsid w:val="00B04506"/>
    <w:rsid w:val="00B04568"/>
    <w:rsid w:val="00B04EFC"/>
    <w:rsid w:val="00B05911"/>
    <w:rsid w:val="00B05C7D"/>
    <w:rsid w:val="00B0605D"/>
    <w:rsid w:val="00B07114"/>
    <w:rsid w:val="00B07915"/>
    <w:rsid w:val="00B10BFE"/>
    <w:rsid w:val="00B10C21"/>
    <w:rsid w:val="00B118FF"/>
    <w:rsid w:val="00B1216B"/>
    <w:rsid w:val="00B123D2"/>
    <w:rsid w:val="00B12A29"/>
    <w:rsid w:val="00B147C1"/>
    <w:rsid w:val="00B1510B"/>
    <w:rsid w:val="00B1648D"/>
    <w:rsid w:val="00B1735D"/>
    <w:rsid w:val="00B1795D"/>
    <w:rsid w:val="00B17C04"/>
    <w:rsid w:val="00B20690"/>
    <w:rsid w:val="00B2189C"/>
    <w:rsid w:val="00B2573C"/>
    <w:rsid w:val="00B26558"/>
    <w:rsid w:val="00B2675A"/>
    <w:rsid w:val="00B26D92"/>
    <w:rsid w:val="00B27FBE"/>
    <w:rsid w:val="00B304DE"/>
    <w:rsid w:val="00B30FD8"/>
    <w:rsid w:val="00B31356"/>
    <w:rsid w:val="00B326D5"/>
    <w:rsid w:val="00B33A15"/>
    <w:rsid w:val="00B33D8C"/>
    <w:rsid w:val="00B36B56"/>
    <w:rsid w:val="00B37192"/>
    <w:rsid w:val="00B37773"/>
    <w:rsid w:val="00B379E5"/>
    <w:rsid w:val="00B404FE"/>
    <w:rsid w:val="00B41292"/>
    <w:rsid w:val="00B4132E"/>
    <w:rsid w:val="00B4139A"/>
    <w:rsid w:val="00B41748"/>
    <w:rsid w:val="00B425C2"/>
    <w:rsid w:val="00B441EB"/>
    <w:rsid w:val="00B468B6"/>
    <w:rsid w:val="00B46BF9"/>
    <w:rsid w:val="00B47880"/>
    <w:rsid w:val="00B502FB"/>
    <w:rsid w:val="00B50FF6"/>
    <w:rsid w:val="00B53D37"/>
    <w:rsid w:val="00B546A0"/>
    <w:rsid w:val="00B54C7C"/>
    <w:rsid w:val="00B55616"/>
    <w:rsid w:val="00B5750B"/>
    <w:rsid w:val="00B57768"/>
    <w:rsid w:val="00B57DD5"/>
    <w:rsid w:val="00B60D55"/>
    <w:rsid w:val="00B60F6F"/>
    <w:rsid w:val="00B617D4"/>
    <w:rsid w:val="00B623CD"/>
    <w:rsid w:val="00B62688"/>
    <w:rsid w:val="00B7056B"/>
    <w:rsid w:val="00B71454"/>
    <w:rsid w:val="00B72A80"/>
    <w:rsid w:val="00B736AF"/>
    <w:rsid w:val="00B73E82"/>
    <w:rsid w:val="00B745BF"/>
    <w:rsid w:val="00B75B75"/>
    <w:rsid w:val="00B76B33"/>
    <w:rsid w:val="00B77177"/>
    <w:rsid w:val="00B77F27"/>
    <w:rsid w:val="00B803E8"/>
    <w:rsid w:val="00B80726"/>
    <w:rsid w:val="00B81297"/>
    <w:rsid w:val="00B83B59"/>
    <w:rsid w:val="00B85A68"/>
    <w:rsid w:val="00B8622A"/>
    <w:rsid w:val="00B863DC"/>
    <w:rsid w:val="00B869C8"/>
    <w:rsid w:val="00B8760D"/>
    <w:rsid w:val="00B87946"/>
    <w:rsid w:val="00B903A3"/>
    <w:rsid w:val="00B90637"/>
    <w:rsid w:val="00B90AF5"/>
    <w:rsid w:val="00B9120C"/>
    <w:rsid w:val="00B9346F"/>
    <w:rsid w:val="00B935AC"/>
    <w:rsid w:val="00B93BE7"/>
    <w:rsid w:val="00B9483D"/>
    <w:rsid w:val="00B95713"/>
    <w:rsid w:val="00B974A9"/>
    <w:rsid w:val="00B97802"/>
    <w:rsid w:val="00BA17A0"/>
    <w:rsid w:val="00BA1987"/>
    <w:rsid w:val="00BA1B16"/>
    <w:rsid w:val="00BA34E3"/>
    <w:rsid w:val="00BA38EA"/>
    <w:rsid w:val="00BA39DF"/>
    <w:rsid w:val="00BA446E"/>
    <w:rsid w:val="00BA4A9B"/>
    <w:rsid w:val="00BA4D95"/>
    <w:rsid w:val="00BA5D39"/>
    <w:rsid w:val="00BA60EE"/>
    <w:rsid w:val="00BB169D"/>
    <w:rsid w:val="00BB22F0"/>
    <w:rsid w:val="00BB2963"/>
    <w:rsid w:val="00BB3BF7"/>
    <w:rsid w:val="00BB402E"/>
    <w:rsid w:val="00BB477E"/>
    <w:rsid w:val="00BB566E"/>
    <w:rsid w:val="00BC001E"/>
    <w:rsid w:val="00BC033F"/>
    <w:rsid w:val="00BC06C1"/>
    <w:rsid w:val="00BC0EDE"/>
    <w:rsid w:val="00BC1868"/>
    <w:rsid w:val="00BC2033"/>
    <w:rsid w:val="00BC3A54"/>
    <w:rsid w:val="00BC4A22"/>
    <w:rsid w:val="00BC4D31"/>
    <w:rsid w:val="00BC530E"/>
    <w:rsid w:val="00BC54AE"/>
    <w:rsid w:val="00BC61DF"/>
    <w:rsid w:val="00BC7DED"/>
    <w:rsid w:val="00BD1686"/>
    <w:rsid w:val="00BD1DE6"/>
    <w:rsid w:val="00BD286C"/>
    <w:rsid w:val="00BD289A"/>
    <w:rsid w:val="00BD2B85"/>
    <w:rsid w:val="00BD3F26"/>
    <w:rsid w:val="00BD40DE"/>
    <w:rsid w:val="00BD4E9F"/>
    <w:rsid w:val="00BD56D6"/>
    <w:rsid w:val="00BD5C28"/>
    <w:rsid w:val="00BD63B7"/>
    <w:rsid w:val="00BD694C"/>
    <w:rsid w:val="00BD761B"/>
    <w:rsid w:val="00BE04A0"/>
    <w:rsid w:val="00BE08B4"/>
    <w:rsid w:val="00BE1853"/>
    <w:rsid w:val="00BE2AFF"/>
    <w:rsid w:val="00BE31EE"/>
    <w:rsid w:val="00BE39B0"/>
    <w:rsid w:val="00BE53D5"/>
    <w:rsid w:val="00BE766D"/>
    <w:rsid w:val="00BE7EC0"/>
    <w:rsid w:val="00BF0D24"/>
    <w:rsid w:val="00BF115A"/>
    <w:rsid w:val="00BF1CE5"/>
    <w:rsid w:val="00BF2FCD"/>
    <w:rsid w:val="00BF349B"/>
    <w:rsid w:val="00BF490F"/>
    <w:rsid w:val="00BF501C"/>
    <w:rsid w:val="00BF571E"/>
    <w:rsid w:val="00BF5D79"/>
    <w:rsid w:val="00BF5E94"/>
    <w:rsid w:val="00BF7D84"/>
    <w:rsid w:val="00C00839"/>
    <w:rsid w:val="00C01E2B"/>
    <w:rsid w:val="00C0338A"/>
    <w:rsid w:val="00C03889"/>
    <w:rsid w:val="00C03974"/>
    <w:rsid w:val="00C039BF"/>
    <w:rsid w:val="00C039C9"/>
    <w:rsid w:val="00C0471C"/>
    <w:rsid w:val="00C04CEE"/>
    <w:rsid w:val="00C05D08"/>
    <w:rsid w:val="00C05E23"/>
    <w:rsid w:val="00C067C6"/>
    <w:rsid w:val="00C07560"/>
    <w:rsid w:val="00C10BEF"/>
    <w:rsid w:val="00C13CAC"/>
    <w:rsid w:val="00C159DD"/>
    <w:rsid w:val="00C163F5"/>
    <w:rsid w:val="00C16FC3"/>
    <w:rsid w:val="00C20619"/>
    <w:rsid w:val="00C20C54"/>
    <w:rsid w:val="00C22191"/>
    <w:rsid w:val="00C22467"/>
    <w:rsid w:val="00C22FF6"/>
    <w:rsid w:val="00C23123"/>
    <w:rsid w:val="00C24B18"/>
    <w:rsid w:val="00C266BB"/>
    <w:rsid w:val="00C267FB"/>
    <w:rsid w:val="00C27F73"/>
    <w:rsid w:val="00C308C1"/>
    <w:rsid w:val="00C318DC"/>
    <w:rsid w:val="00C31FA9"/>
    <w:rsid w:val="00C33405"/>
    <w:rsid w:val="00C35004"/>
    <w:rsid w:val="00C351C7"/>
    <w:rsid w:val="00C3546B"/>
    <w:rsid w:val="00C3547A"/>
    <w:rsid w:val="00C356FE"/>
    <w:rsid w:val="00C36613"/>
    <w:rsid w:val="00C37C62"/>
    <w:rsid w:val="00C42A28"/>
    <w:rsid w:val="00C42EA8"/>
    <w:rsid w:val="00C42ECB"/>
    <w:rsid w:val="00C444D1"/>
    <w:rsid w:val="00C45889"/>
    <w:rsid w:val="00C461FF"/>
    <w:rsid w:val="00C465F8"/>
    <w:rsid w:val="00C46867"/>
    <w:rsid w:val="00C473F7"/>
    <w:rsid w:val="00C50C5F"/>
    <w:rsid w:val="00C50DCF"/>
    <w:rsid w:val="00C52EC0"/>
    <w:rsid w:val="00C531CD"/>
    <w:rsid w:val="00C53390"/>
    <w:rsid w:val="00C55F18"/>
    <w:rsid w:val="00C56A00"/>
    <w:rsid w:val="00C612FD"/>
    <w:rsid w:val="00C6232F"/>
    <w:rsid w:val="00C63933"/>
    <w:rsid w:val="00C64934"/>
    <w:rsid w:val="00C73275"/>
    <w:rsid w:val="00C7361E"/>
    <w:rsid w:val="00C73B06"/>
    <w:rsid w:val="00C73EA6"/>
    <w:rsid w:val="00C75728"/>
    <w:rsid w:val="00C75B08"/>
    <w:rsid w:val="00C75D10"/>
    <w:rsid w:val="00C76009"/>
    <w:rsid w:val="00C7734B"/>
    <w:rsid w:val="00C81095"/>
    <w:rsid w:val="00C83021"/>
    <w:rsid w:val="00C85256"/>
    <w:rsid w:val="00C854BA"/>
    <w:rsid w:val="00C859D1"/>
    <w:rsid w:val="00C91333"/>
    <w:rsid w:val="00C937FB"/>
    <w:rsid w:val="00C93B4D"/>
    <w:rsid w:val="00C94A5A"/>
    <w:rsid w:val="00C94B76"/>
    <w:rsid w:val="00C94F5F"/>
    <w:rsid w:val="00C95417"/>
    <w:rsid w:val="00C95BE5"/>
    <w:rsid w:val="00C96968"/>
    <w:rsid w:val="00C97C1C"/>
    <w:rsid w:val="00CA054F"/>
    <w:rsid w:val="00CA09E6"/>
    <w:rsid w:val="00CA13B5"/>
    <w:rsid w:val="00CA1B51"/>
    <w:rsid w:val="00CA1CB2"/>
    <w:rsid w:val="00CA1D6A"/>
    <w:rsid w:val="00CA2A33"/>
    <w:rsid w:val="00CA45CD"/>
    <w:rsid w:val="00CA4FB3"/>
    <w:rsid w:val="00CA50F8"/>
    <w:rsid w:val="00CA713C"/>
    <w:rsid w:val="00CA7DDF"/>
    <w:rsid w:val="00CB17FB"/>
    <w:rsid w:val="00CB2410"/>
    <w:rsid w:val="00CB505B"/>
    <w:rsid w:val="00CB549D"/>
    <w:rsid w:val="00CB6094"/>
    <w:rsid w:val="00CC0F1A"/>
    <w:rsid w:val="00CC1578"/>
    <w:rsid w:val="00CC2D81"/>
    <w:rsid w:val="00CC3B17"/>
    <w:rsid w:val="00CC51D5"/>
    <w:rsid w:val="00CC673C"/>
    <w:rsid w:val="00CC7639"/>
    <w:rsid w:val="00CD0ADD"/>
    <w:rsid w:val="00CD0CBE"/>
    <w:rsid w:val="00CD2067"/>
    <w:rsid w:val="00CD21AD"/>
    <w:rsid w:val="00CD3B4D"/>
    <w:rsid w:val="00CD46D9"/>
    <w:rsid w:val="00CD4CA2"/>
    <w:rsid w:val="00CD59B7"/>
    <w:rsid w:val="00CD6483"/>
    <w:rsid w:val="00CD6559"/>
    <w:rsid w:val="00CD6A13"/>
    <w:rsid w:val="00CD7E78"/>
    <w:rsid w:val="00CE04D5"/>
    <w:rsid w:val="00CE0C50"/>
    <w:rsid w:val="00CE2235"/>
    <w:rsid w:val="00CE2684"/>
    <w:rsid w:val="00CE288F"/>
    <w:rsid w:val="00CE2EF0"/>
    <w:rsid w:val="00CE44C6"/>
    <w:rsid w:val="00CE45D5"/>
    <w:rsid w:val="00CE58A9"/>
    <w:rsid w:val="00CE5BA1"/>
    <w:rsid w:val="00CE5D5E"/>
    <w:rsid w:val="00CE6022"/>
    <w:rsid w:val="00CE6AEA"/>
    <w:rsid w:val="00CE789A"/>
    <w:rsid w:val="00CF0042"/>
    <w:rsid w:val="00CF10E1"/>
    <w:rsid w:val="00CF1485"/>
    <w:rsid w:val="00CF2475"/>
    <w:rsid w:val="00CF295C"/>
    <w:rsid w:val="00CF2B84"/>
    <w:rsid w:val="00CF2C3E"/>
    <w:rsid w:val="00CF3D27"/>
    <w:rsid w:val="00CF4E7A"/>
    <w:rsid w:val="00CF7AB9"/>
    <w:rsid w:val="00D0083E"/>
    <w:rsid w:val="00D0110F"/>
    <w:rsid w:val="00D02111"/>
    <w:rsid w:val="00D02132"/>
    <w:rsid w:val="00D02594"/>
    <w:rsid w:val="00D02CB0"/>
    <w:rsid w:val="00D030F7"/>
    <w:rsid w:val="00D0466F"/>
    <w:rsid w:val="00D04A5B"/>
    <w:rsid w:val="00D062F1"/>
    <w:rsid w:val="00D0731B"/>
    <w:rsid w:val="00D118F3"/>
    <w:rsid w:val="00D12275"/>
    <w:rsid w:val="00D13499"/>
    <w:rsid w:val="00D15F71"/>
    <w:rsid w:val="00D17985"/>
    <w:rsid w:val="00D17FD3"/>
    <w:rsid w:val="00D20624"/>
    <w:rsid w:val="00D208F3"/>
    <w:rsid w:val="00D20BE4"/>
    <w:rsid w:val="00D21878"/>
    <w:rsid w:val="00D21A56"/>
    <w:rsid w:val="00D2212B"/>
    <w:rsid w:val="00D22563"/>
    <w:rsid w:val="00D24647"/>
    <w:rsid w:val="00D267C9"/>
    <w:rsid w:val="00D26EE5"/>
    <w:rsid w:val="00D2733F"/>
    <w:rsid w:val="00D3165E"/>
    <w:rsid w:val="00D31C71"/>
    <w:rsid w:val="00D31E25"/>
    <w:rsid w:val="00D32834"/>
    <w:rsid w:val="00D34A45"/>
    <w:rsid w:val="00D3754B"/>
    <w:rsid w:val="00D40FCF"/>
    <w:rsid w:val="00D42028"/>
    <w:rsid w:val="00D4250A"/>
    <w:rsid w:val="00D42524"/>
    <w:rsid w:val="00D42A44"/>
    <w:rsid w:val="00D42AA1"/>
    <w:rsid w:val="00D4302C"/>
    <w:rsid w:val="00D433FC"/>
    <w:rsid w:val="00D43D62"/>
    <w:rsid w:val="00D44068"/>
    <w:rsid w:val="00D44B15"/>
    <w:rsid w:val="00D45A01"/>
    <w:rsid w:val="00D468DA"/>
    <w:rsid w:val="00D47999"/>
    <w:rsid w:val="00D47D8C"/>
    <w:rsid w:val="00D503DD"/>
    <w:rsid w:val="00D53D27"/>
    <w:rsid w:val="00D53F22"/>
    <w:rsid w:val="00D54DA4"/>
    <w:rsid w:val="00D5520D"/>
    <w:rsid w:val="00D556C0"/>
    <w:rsid w:val="00D560AF"/>
    <w:rsid w:val="00D56197"/>
    <w:rsid w:val="00D561CB"/>
    <w:rsid w:val="00D57926"/>
    <w:rsid w:val="00D579F4"/>
    <w:rsid w:val="00D60068"/>
    <w:rsid w:val="00D62410"/>
    <w:rsid w:val="00D639E6"/>
    <w:rsid w:val="00D64EAE"/>
    <w:rsid w:val="00D656E1"/>
    <w:rsid w:val="00D65980"/>
    <w:rsid w:val="00D66322"/>
    <w:rsid w:val="00D70E0A"/>
    <w:rsid w:val="00D72D7A"/>
    <w:rsid w:val="00D7431D"/>
    <w:rsid w:val="00D80612"/>
    <w:rsid w:val="00D80B16"/>
    <w:rsid w:val="00D82323"/>
    <w:rsid w:val="00D829F4"/>
    <w:rsid w:val="00D8518A"/>
    <w:rsid w:val="00D87652"/>
    <w:rsid w:val="00D90F19"/>
    <w:rsid w:val="00D92B0E"/>
    <w:rsid w:val="00D94114"/>
    <w:rsid w:val="00D94F3D"/>
    <w:rsid w:val="00D9539F"/>
    <w:rsid w:val="00D95F4E"/>
    <w:rsid w:val="00D964EF"/>
    <w:rsid w:val="00D967AF"/>
    <w:rsid w:val="00D96A5B"/>
    <w:rsid w:val="00D97B50"/>
    <w:rsid w:val="00DA08DC"/>
    <w:rsid w:val="00DA0927"/>
    <w:rsid w:val="00DA13F5"/>
    <w:rsid w:val="00DA1AF9"/>
    <w:rsid w:val="00DA2B4D"/>
    <w:rsid w:val="00DA3386"/>
    <w:rsid w:val="00DA5689"/>
    <w:rsid w:val="00DA5ADB"/>
    <w:rsid w:val="00DA6019"/>
    <w:rsid w:val="00DB1C00"/>
    <w:rsid w:val="00DB27DF"/>
    <w:rsid w:val="00DB31B3"/>
    <w:rsid w:val="00DB3571"/>
    <w:rsid w:val="00DB3CAF"/>
    <w:rsid w:val="00DB49F3"/>
    <w:rsid w:val="00DB4FBC"/>
    <w:rsid w:val="00DB78D4"/>
    <w:rsid w:val="00DB7ACA"/>
    <w:rsid w:val="00DC027A"/>
    <w:rsid w:val="00DC2144"/>
    <w:rsid w:val="00DC2799"/>
    <w:rsid w:val="00DC2C46"/>
    <w:rsid w:val="00DC3AAC"/>
    <w:rsid w:val="00DC3FC3"/>
    <w:rsid w:val="00DC488E"/>
    <w:rsid w:val="00DC4C25"/>
    <w:rsid w:val="00DC55BD"/>
    <w:rsid w:val="00DC5D57"/>
    <w:rsid w:val="00DC68B0"/>
    <w:rsid w:val="00DD02A0"/>
    <w:rsid w:val="00DD03A2"/>
    <w:rsid w:val="00DD053E"/>
    <w:rsid w:val="00DD0971"/>
    <w:rsid w:val="00DD09CB"/>
    <w:rsid w:val="00DD1E9B"/>
    <w:rsid w:val="00DD2504"/>
    <w:rsid w:val="00DD25B9"/>
    <w:rsid w:val="00DD26E3"/>
    <w:rsid w:val="00DD393B"/>
    <w:rsid w:val="00DD39C5"/>
    <w:rsid w:val="00DD3F86"/>
    <w:rsid w:val="00DD4E72"/>
    <w:rsid w:val="00DD5092"/>
    <w:rsid w:val="00DE3121"/>
    <w:rsid w:val="00DE34FA"/>
    <w:rsid w:val="00DE37F5"/>
    <w:rsid w:val="00DE390E"/>
    <w:rsid w:val="00DE39BF"/>
    <w:rsid w:val="00DE3A49"/>
    <w:rsid w:val="00DE407F"/>
    <w:rsid w:val="00DE4F9B"/>
    <w:rsid w:val="00DE564F"/>
    <w:rsid w:val="00DE5DD5"/>
    <w:rsid w:val="00DE667D"/>
    <w:rsid w:val="00DE6E83"/>
    <w:rsid w:val="00DE7117"/>
    <w:rsid w:val="00DE7AC3"/>
    <w:rsid w:val="00DF0482"/>
    <w:rsid w:val="00DF0679"/>
    <w:rsid w:val="00DF151D"/>
    <w:rsid w:val="00DF5260"/>
    <w:rsid w:val="00DF5B2C"/>
    <w:rsid w:val="00DF5DD4"/>
    <w:rsid w:val="00DF7506"/>
    <w:rsid w:val="00DF7807"/>
    <w:rsid w:val="00DF7A9E"/>
    <w:rsid w:val="00DF7EFA"/>
    <w:rsid w:val="00E015AE"/>
    <w:rsid w:val="00E01A88"/>
    <w:rsid w:val="00E03E3E"/>
    <w:rsid w:val="00E04237"/>
    <w:rsid w:val="00E04A21"/>
    <w:rsid w:val="00E06026"/>
    <w:rsid w:val="00E06CBA"/>
    <w:rsid w:val="00E06F49"/>
    <w:rsid w:val="00E07220"/>
    <w:rsid w:val="00E1089E"/>
    <w:rsid w:val="00E11B94"/>
    <w:rsid w:val="00E12D07"/>
    <w:rsid w:val="00E1365A"/>
    <w:rsid w:val="00E13B59"/>
    <w:rsid w:val="00E14779"/>
    <w:rsid w:val="00E2321E"/>
    <w:rsid w:val="00E24A8A"/>
    <w:rsid w:val="00E24B5F"/>
    <w:rsid w:val="00E263A4"/>
    <w:rsid w:val="00E271DD"/>
    <w:rsid w:val="00E27302"/>
    <w:rsid w:val="00E30891"/>
    <w:rsid w:val="00E30F20"/>
    <w:rsid w:val="00E31BDF"/>
    <w:rsid w:val="00E32A6A"/>
    <w:rsid w:val="00E330A5"/>
    <w:rsid w:val="00E33F41"/>
    <w:rsid w:val="00E34474"/>
    <w:rsid w:val="00E351FF"/>
    <w:rsid w:val="00E36652"/>
    <w:rsid w:val="00E3680B"/>
    <w:rsid w:val="00E36E10"/>
    <w:rsid w:val="00E40770"/>
    <w:rsid w:val="00E41A14"/>
    <w:rsid w:val="00E41C66"/>
    <w:rsid w:val="00E43EA3"/>
    <w:rsid w:val="00E44209"/>
    <w:rsid w:val="00E44391"/>
    <w:rsid w:val="00E44561"/>
    <w:rsid w:val="00E4497E"/>
    <w:rsid w:val="00E4691C"/>
    <w:rsid w:val="00E46B9D"/>
    <w:rsid w:val="00E46E0B"/>
    <w:rsid w:val="00E5177D"/>
    <w:rsid w:val="00E521C6"/>
    <w:rsid w:val="00E52A90"/>
    <w:rsid w:val="00E52FAB"/>
    <w:rsid w:val="00E54D84"/>
    <w:rsid w:val="00E55A1A"/>
    <w:rsid w:val="00E57DCF"/>
    <w:rsid w:val="00E601E9"/>
    <w:rsid w:val="00E6099D"/>
    <w:rsid w:val="00E61544"/>
    <w:rsid w:val="00E61E69"/>
    <w:rsid w:val="00E62440"/>
    <w:rsid w:val="00E6281A"/>
    <w:rsid w:val="00E630A0"/>
    <w:rsid w:val="00E63119"/>
    <w:rsid w:val="00E631B2"/>
    <w:rsid w:val="00E63A5B"/>
    <w:rsid w:val="00E63D2E"/>
    <w:rsid w:val="00E6519D"/>
    <w:rsid w:val="00E653C7"/>
    <w:rsid w:val="00E65E24"/>
    <w:rsid w:val="00E66CAF"/>
    <w:rsid w:val="00E674CE"/>
    <w:rsid w:val="00E67DAD"/>
    <w:rsid w:val="00E7107D"/>
    <w:rsid w:val="00E72C47"/>
    <w:rsid w:val="00E7315C"/>
    <w:rsid w:val="00E7477B"/>
    <w:rsid w:val="00E74ABE"/>
    <w:rsid w:val="00E7529E"/>
    <w:rsid w:val="00E75E28"/>
    <w:rsid w:val="00E769A4"/>
    <w:rsid w:val="00E7775C"/>
    <w:rsid w:val="00E77CD5"/>
    <w:rsid w:val="00E807B8"/>
    <w:rsid w:val="00E809B4"/>
    <w:rsid w:val="00E80A14"/>
    <w:rsid w:val="00E82718"/>
    <w:rsid w:val="00E82E8B"/>
    <w:rsid w:val="00E83804"/>
    <w:rsid w:val="00E83886"/>
    <w:rsid w:val="00E8503D"/>
    <w:rsid w:val="00E85CE1"/>
    <w:rsid w:val="00E869EF"/>
    <w:rsid w:val="00E877B8"/>
    <w:rsid w:val="00E90A47"/>
    <w:rsid w:val="00E90A6F"/>
    <w:rsid w:val="00E90D2A"/>
    <w:rsid w:val="00E90F38"/>
    <w:rsid w:val="00E912FC"/>
    <w:rsid w:val="00E915E2"/>
    <w:rsid w:val="00E9311A"/>
    <w:rsid w:val="00E95B5A"/>
    <w:rsid w:val="00E965C1"/>
    <w:rsid w:val="00E96D54"/>
    <w:rsid w:val="00EA0CF9"/>
    <w:rsid w:val="00EA0F40"/>
    <w:rsid w:val="00EA1EF7"/>
    <w:rsid w:val="00EA2581"/>
    <w:rsid w:val="00EA2F91"/>
    <w:rsid w:val="00EA2FED"/>
    <w:rsid w:val="00EA50EE"/>
    <w:rsid w:val="00EA5931"/>
    <w:rsid w:val="00EA5974"/>
    <w:rsid w:val="00EA698F"/>
    <w:rsid w:val="00EB0EAA"/>
    <w:rsid w:val="00EB2804"/>
    <w:rsid w:val="00EB4654"/>
    <w:rsid w:val="00EB54C6"/>
    <w:rsid w:val="00EB54D7"/>
    <w:rsid w:val="00EB5C53"/>
    <w:rsid w:val="00EB67C9"/>
    <w:rsid w:val="00EB6F30"/>
    <w:rsid w:val="00EB7307"/>
    <w:rsid w:val="00EB74B5"/>
    <w:rsid w:val="00EC1EE8"/>
    <w:rsid w:val="00EC2C9B"/>
    <w:rsid w:val="00EC2CB0"/>
    <w:rsid w:val="00EC2EB4"/>
    <w:rsid w:val="00EC53C1"/>
    <w:rsid w:val="00EC5EC1"/>
    <w:rsid w:val="00EC62AF"/>
    <w:rsid w:val="00EC650D"/>
    <w:rsid w:val="00EC6A56"/>
    <w:rsid w:val="00EC6EE7"/>
    <w:rsid w:val="00EC7381"/>
    <w:rsid w:val="00ED0C6B"/>
    <w:rsid w:val="00ED220E"/>
    <w:rsid w:val="00ED2E6A"/>
    <w:rsid w:val="00ED3A26"/>
    <w:rsid w:val="00ED4113"/>
    <w:rsid w:val="00ED4C50"/>
    <w:rsid w:val="00ED4EE2"/>
    <w:rsid w:val="00ED599F"/>
    <w:rsid w:val="00ED693F"/>
    <w:rsid w:val="00ED748B"/>
    <w:rsid w:val="00EE0421"/>
    <w:rsid w:val="00EE087B"/>
    <w:rsid w:val="00EE0B86"/>
    <w:rsid w:val="00EE16D1"/>
    <w:rsid w:val="00EE17DA"/>
    <w:rsid w:val="00EE2700"/>
    <w:rsid w:val="00EE301B"/>
    <w:rsid w:val="00EE34EF"/>
    <w:rsid w:val="00EE3710"/>
    <w:rsid w:val="00EE4C3C"/>
    <w:rsid w:val="00EE4DBA"/>
    <w:rsid w:val="00EE5E62"/>
    <w:rsid w:val="00EE6EBD"/>
    <w:rsid w:val="00EE731F"/>
    <w:rsid w:val="00EE785F"/>
    <w:rsid w:val="00EE7C50"/>
    <w:rsid w:val="00EF1629"/>
    <w:rsid w:val="00EF1E17"/>
    <w:rsid w:val="00EF419B"/>
    <w:rsid w:val="00EF5BB3"/>
    <w:rsid w:val="00EF6109"/>
    <w:rsid w:val="00EF69BE"/>
    <w:rsid w:val="00EF6DE0"/>
    <w:rsid w:val="00EF76DA"/>
    <w:rsid w:val="00EF78E4"/>
    <w:rsid w:val="00F00001"/>
    <w:rsid w:val="00F00341"/>
    <w:rsid w:val="00F021D6"/>
    <w:rsid w:val="00F02E79"/>
    <w:rsid w:val="00F031C4"/>
    <w:rsid w:val="00F03DFD"/>
    <w:rsid w:val="00F03E15"/>
    <w:rsid w:val="00F04EB1"/>
    <w:rsid w:val="00F050F5"/>
    <w:rsid w:val="00F05AA1"/>
    <w:rsid w:val="00F067BB"/>
    <w:rsid w:val="00F0708A"/>
    <w:rsid w:val="00F075B2"/>
    <w:rsid w:val="00F078D9"/>
    <w:rsid w:val="00F11446"/>
    <w:rsid w:val="00F1234E"/>
    <w:rsid w:val="00F133CE"/>
    <w:rsid w:val="00F13C24"/>
    <w:rsid w:val="00F14309"/>
    <w:rsid w:val="00F149EF"/>
    <w:rsid w:val="00F14F1B"/>
    <w:rsid w:val="00F163C6"/>
    <w:rsid w:val="00F20252"/>
    <w:rsid w:val="00F20459"/>
    <w:rsid w:val="00F21CEA"/>
    <w:rsid w:val="00F22D1D"/>
    <w:rsid w:val="00F23667"/>
    <w:rsid w:val="00F23735"/>
    <w:rsid w:val="00F23799"/>
    <w:rsid w:val="00F23FA0"/>
    <w:rsid w:val="00F25CC7"/>
    <w:rsid w:val="00F309FB"/>
    <w:rsid w:val="00F31992"/>
    <w:rsid w:val="00F325EC"/>
    <w:rsid w:val="00F33A92"/>
    <w:rsid w:val="00F351A5"/>
    <w:rsid w:val="00F35CBD"/>
    <w:rsid w:val="00F37B95"/>
    <w:rsid w:val="00F405E5"/>
    <w:rsid w:val="00F406F6"/>
    <w:rsid w:val="00F40918"/>
    <w:rsid w:val="00F40A1E"/>
    <w:rsid w:val="00F40EBB"/>
    <w:rsid w:val="00F410C7"/>
    <w:rsid w:val="00F427B1"/>
    <w:rsid w:val="00F43ED4"/>
    <w:rsid w:val="00F44698"/>
    <w:rsid w:val="00F44C65"/>
    <w:rsid w:val="00F46595"/>
    <w:rsid w:val="00F46B8A"/>
    <w:rsid w:val="00F47566"/>
    <w:rsid w:val="00F501EE"/>
    <w:rsid w:val="00F507C9"/>
    <w:rsid w:val="00F51946"/>
    <w:rsid w:val="00F522C6"/>
    <w:rsid w:val="00F537BA"/>
    <w:rsid w:val="00F54013"/>
    <w:rsid w:val="00F55EEA"/>
    <w:rsid w:val="00F56A8C"/>
    <w:rsid w:val="00F6171D"/>
    <w:rsid w:val="00F61F37"/>
    <w:rsid w:val="00F6285C"/>
    <w:rsid w:val="00F62A96"/>
    <w:rsid w:val="00F63491"/>
    <w:rsid w:val="00F6387A"/>
    <w:rsid w:val="00F65AED"/>
    <w:rsid w:val="00F6741E"/>
    <w:rsid w:val="00F67864"/>
    <w:rsid w:val="00F67DE5"/>
    <w:rsid w:val="00F70DE3"/>
    <w:rsid w:val="00F74748"/>
    <w:rsid w:val="00F76934"/>
    <w:rsid w:val="00F76A35"/>
    <w:rsid w:val="00F76BAD"/>
    <w:rsid w:val="00F76BD1"/>
    <w:rsid w:val="00F76C85"/>
    <w:rsid w:val="00F77431"/>
    <w:rsid w:val="00F825D8"/>
    <w:rsid w:val="00F84AA9"/>
    <w:rsid w:val="00F85E9C"/>
    <w:rsid w:val="00F860C6"/>
    <w:rsid w:val="00F878FA"/>
    <w:rsid w:val="00F87A65"/>
    <w:rsid w:val="00F87F1E"/>
    <w:rsid w:val="00F909A5"/>
    <w:rsid w:val="00F90CBD"/>
    <w:rsid w:val="00F91F2A"/>
    <w:rsid w:val="00F94529"/>
    <w:rsid w:val="00F95D9E"/>
    <w:rsid w:val="00F960FD"/>
    <w:rsid w:val="00F96E6E"/>
    <w:rsid w:val="00F9714F"/>
    <w:rsid w:val="00FA0241"/>
    <w:rsid w:val="00FA0C7F"/>
    <w:rsid w:val="00FA1443"/>
    <w:rsid w:val="00FA3080"/>
    <w:rsid w:val="00FA4695"/>
    <w:rsid w:val="00FA5CC5"/>
    <w:rsid w:val="00FA763A"/>
    <w:rsid w:val="00FB0940"/>
    <w:rsid w:val="00FB17D9"/>
    <w:rsid w:val="00FB1BD1"/>
    <w:rsid w:val="00FB1D75"/>
    <w:rsid w:val="00FB20B1"/>
    <w:rsid w:val="00FB3FDB"/>
    <w:rsid w:val="00FB46C2"/>
    <w:rsid w:val="00FB5C5D"/>
    <w:rsid w:val="00FB5C79"/>
    <w:rsid w:val="00FB6C49"/>
    <w:rsid w:val="00FC0F08"/>
    <w:rsid w:val="00FC26AE"/>
    <w:rsid w:val="00FC3CA8"/>
    <w:rsid w:val="00FC40D8"/>
    <w:rsid w:val="00FC4B2E"/>
    <w:rsid w:val="00FC5163"/>
    <w:rsid w:val="00FC6879"/>
    <w:rsid w:val="00FC706A"/>
    <w:rsid w:val="00FC70D6"/>
    <w:rsid w:val="00FC7B20"/>
    <w:rsid w:val="00FC7FB9"/>
    <w:rsid w:val="00FD07CF"/>
    <w:rsid w:val="00FD1848"/>
    <w:rsid w:val="00FD1C70"/>
    <w:rsid w:val="00FD246E"/>
    <w:rsid w:val="00FD2654"/>
    <w:rsid w:val="00FD275C"/>
    <w:rsid w:val="00FD2FFD"/>
    <w:rsid w:val="00FD3578"/>
    <w:rsid w:val="00FD39A5"/>
    <w:rsid w:val="00FD4AAF"/>
    <w:rsid w:val="00FD4C38"/>
    <w:rsid w:val="00FD5063"/>
    <w:rsid w:val="00FD58BF"/>
    <w:rsid w:val="00FD5993"/>
    <w:rsid w:val="00FD59D8"/>
    <w:rsid w:val="00FD605A"/>
    <w:rsid w:val="00FD6BF8"/>
    <w:rsid w:val="00FD760B"/>
    <w:rsid w:val="00FD7B32"/>
    <w:rsid w:val="00FD7EBA"/>
    <w:rsid w:val="00FE041C"/>
    <w:rsid w:val="00FE056C"/>
    <w:rsid w:val="00FE284B"/>
    <w:rsid w:val="00FE2927"/>
    <w:rsid w:val="00FE2A0B"/>
    <w:rsid w:val="00FE2D71"/>
    <w:rsid w:val="00FE37AD"/>
    <w:rsid w:val="00FE4567"/>
    <w:rsid w:val="00FE4B22"/>
    <w:rsid w:val="00FE4DD5"/>
    <w:rsid w:val="00FE65D4"/>
    <w:rsid w:val="00FE670C"/>
    <w:rsid w:val="00FE69A3"/>
    <w:rsid w:val="00FE749E"/>
    <w:rsid w:val="00FE7595"/>
    <w:rsid w:val="00FE7DB2"/>
    <w:rsid w:val="00FF05F7"/>
    <w:rsid w:val="00FF0989"/>
    <w:rsid w:val="00FF2750"/>
    <w:rsid w:val="00FF3B15"/>
    <w:rsid w:val="00FF47D6"/>
    <w:rsid w:val="00FF4A01"/>
    <w:rsid w:val="00FF598B"/>
    <w:rsid w:val="00FF766C"/>
    <w:rsid w:val="01CC1A40"/>
    <w:rsid w:val="02DA055C"/>
    <w:rsid w:val="02FD6AF8"/>
    <w:rsid w:val="0304414C"/>
    <w:rsid w:val="031C69F7"/>
    <w:rsid w:val="037B74D7"/>
    <w:rsid w:val="03D85FA7"/>
    <w:rsid w:val="04BD7145"/>
    <w:rsid w:val="04C933B7"/>
    <w:rsid w:val="04CC414B"/>
    <w:rsid w:val="04D231D9"/>
    <w:rsid w:val="050E236F"/>
    <w:rsid w:val="05715C5C"/>
    <w:rsid w:val="067D7AFA"/>
    <w:rsid w:val="06CB676A"/>
    <w:rsid w:val="06E913A4"/>
    <w:rsid w:val="07930D69"/>
    <w:rsid w:val="07950B42"/>
    <w:rsid w:val="07AF1BE8"/>
    <w:rsid w:val="07BE0A46"/>
    <w:rsid w:val="07C37441"/>
    <w:rsid w:val="07E861B7"/>
    <w:rsid w:val="07EC2E3C"/>
    <w:rsid w:val="08976C6C"/>
    <w:rsid w:val="090B5543"/>
    <w:rsid w:val="096C55F1"/>
    <w:rsid w:val="097140BE"/>
    <w:rsid w:val="0A7350E4"/>
    <w:rsid w:val="0AA7304A"/>
    <w:rsid w:val="0BFC555B"/>
    <w:rsid w:val="0C4D3406"/>
    <w:rsid w:val="0C763CF5"/>
    <w:rsid w:val="0D1F511A"/>
    <w:rsid w:val="0D453616"/>
    <w:rsid w:val="0DFA16E3"/>
    <w:rsid w:val="0F3F26BC"/>
    <w:rsid w:val="0F42273C"/>
    <w:rsid w:val="10152804"/>
    <w:rsid w:val="108E62CA"/>
    <w:rsid w:val="10D15C69"/>
    <w:rsid w:val="11565904"/>
    <w:rsid w:val="11895C3C"/>
    <w:rsid w:val="11C4468B"/>
    <w:rsid w:val="11D013B7"/>
    <w:rsid w:val="123553DF"/>
    <w:rsid w:val="12486EC1"/>
    <w:rsid w:val="128A56A2"/>
    <w:rsid w:val="12ED7F51"/>
    <w:rsid w:val="131119A8"/>
    <w:rsid w:val="13AD4D1A"/>
    <w:rsid w:val="13E764AF"/>
    <w:rsid w:val="142E34B0"/>
    <w:rsid w:val="14952165"/>
    <w:rsid w:val="14AC0902"/>
    <w:rsid w:val="155259CD"/>
    <w:rsid w:val="15AF52E8"/>
    <w:rsid w:val="15CF061B"/>
    <w:rsid w:val="15EB4733"/>
    <w:rsid w:val="166E7112"/>
    <w:rsid w:val="17113229"/>
    <w:rsid w:val="17117EAD"/>
    <w:rsid w:val="17543E2F"/>
    <w:rsid w:val="17606A5A"/>
    <w:rsid w:val="17B60D70"/>
    <w:rsid w:val="17BC66DE"/>
    <w:rsid w:val="181C74B0"/>
    <w:rsid w:val="18341B8B"/>
    <w:rsid w:val="183B2ECC"/>
    <w:rsid w:val="18561D8C"/>
    <w:rsid w:val="18A70D35"/>
    <w:rsid w:val="19013449"/>
    <w:rsid w:val="191164A5"/>
    <w:rsid w:val="196C651D"/>
    <w:rsid w:val="19952923"/>
    <w:rsid w:val="1A163D48"/>
    <w:rsid w:val="1A1852F7"/>
    <w:rsid w:val="1AA85984"/>
    <w:rsid w:val="1ABA7CDE"/>
    <w:rsid w:val="1B930A8E"/>
    <w:rsid w:val="1BA07D6D"/>
    <w:rsid w:val="1BA84C6B"/>
    <w:rsid w:val="1BE063BC"/>
    <w:rsid w:val="1C4554B4"/>
    <w:rsid w:val="1C4F2B36"/>
    <w:rsid w:val="1C7C7031"/>
    <w:rsid w:val="1C9176B6"/>
    <w:rsid w:val="1CAF146C"/>
    <w:rsid w:val="1CB82597"/>
    <w:rsid w:val="1CC71F6A"/>
    <w:rsid w:val="1CFC0FD3"/>
    <w:rsid w:val="1DCE2704"/>
    <w:rsid w:val="1EF50FA9"/>
    <w:rsid w:val="1F78690B"/>
    <w:rsid w:val="1F837F53"/>
    <w:rsid w:val="1F8757F3"/>
    <w:rsid w:val="1FAF1FE4"/>
    <w:rsid w:val="200C1F5C"/>
    <w:rsid w:val="202F3C6E"/>
    <w:rsid w:val="207A07AA"/>
    <w:rsid w:val="20B25EBD"/>
    <w:rsid w:val="20C4033E"/>
    <w:rsid w:val="20DC4649"/>
    <w:rsid w:val="20E85017"/>
    <w:rsid w:val="216B0159"/>
    <w:rsid w:val="21D119B5"/>
    <w:rsid w:val="22373891"/>
    <w:rsid w:val="228961CE"/>
    <w:rsid w:val="229C1C63"/>
    <w:rsid w:val="22A81C5E"/>
    <w:rsid w:val="22D16A5E"/>
    <w:rsid w:val="23413330"/>
    <w:rsid w:val="239115A4"/>
    <w:rsid w:val="241F37F9"/>
    <w:rsid w:val="244C45FD"/>
    <w:rsid w:val="24883A94"/>
    <w:rsid w:val="24960973"/>
    <w:rsid w:val="24D053E2"/>
    <w:rsid w:val="24D767CA"/>
    <w:rsid w:val="255816B9"/>
    <w:rsid w:val="255D2CE1"/>
    <w:rsid w:val="25B40E8C"/>
    <w:rsid w:val="25D7633C"/>
    <w:rsid w:val="266D4050"/>
    <w:rsid w:val="26995AE5"/>
    <w:rsid w:val="276A6202"/>
    <w:rsid w:val="278928D4"/>
    <w:rsid w:val="278B7B24"/>
    <w:rsid w:val="27E44D3E"/>
    <w:rsid w:val="281919C7"/>
    <w:rsid w:val="2819686D"/>
    <w:rsid w:val="282047C7"/>
    <w:rsid w:val="28516CAB"/>
    <w:rsid w:val="28A14C56"/>
    <w:rsid w:val="28A47CC5"/>
    <w:rsid w:val="2912392D"/>
    <w:rsid w:val="29CE7876"/>
    <w:rsid w:val="2A7F308D"/>
    <w:rsid w:val="2A7F33BD"/>
    <w:rsid w:val="2AB01698"/>
    <w:rsid w:val="2B9861C7"/>
    <w:rsid w:val="2BA81AF3"/>
    <w:rsid w:val="2C1116B4"/>
    <w:rsid w:val="2D517119"/>
    <w:rsid w:val="2E6F2DE9"/>
    <w:rsid w:val="2EA65243"/>
    <w:rsid w:val="2EC75B86"/>
    <w:rsid w:val="2EEC5705"/>
    <w:rsid w:val="2FE83639"/>
    <w:rsid w:val="302A305F"/>
    <w:rsid w:val="31083F93"/>
    <w:rsid w:val="310C16B5"/>
    <w:rsid w:val="314B753E"/>
    <w:rsid w:val="314C62AE"/>
    <w:rsid w:val="31C17076"/>
    <w:rsid w:val="31C3093A"/>
    <w:rsid w:val="31D82320"/>
    <w:rsid w:val="31ED2D77"/>
    <w:rsid w:val="32081D71"/>
    <w:rsid w:val="32E270C0"/>
    <w:rsid w:val="32EE71B8"/>
    <w:rsid w:val="33130ECB"/>
    <w:rsid w:val="33462230"/>
    <w:rsid w:val="34467865"/>
    <w:rsid w:val="35002231"/>
    <w:rsid w:val="35021EC9"/>
    <w:rsid w:val="35061BD5"/>
    <w:rsid w:val="35156F4A"/>
    <w:rsid w:val="35773495"/>
    <w:rsid w:val="3599344E"/>
    <w:rsid w:val="35AB2F3C"/>
    <w:rsid w:val="35C22008"/>
    <w:rsid w:val="35D26E45"/>
    <w:rsid w:val="35D701EC"/>
    <w:rsid w:val="35E30B2B"/>
    <w:rsid w:val="35F125E7"/>
    <w:rsid w:val="363E5DC4"/>
    <w:rsid w:val="364F1CE6"/>
    <w:rsid w:val="36901E29"/>
    <w:rsid w:val="370C4604"/>
    <w:rsid w:val="372D2529"/>
    <w:rsid w:val="37473336"/>
    <w:rsid w:val="376D2DA2"/>
    <w:rsid w:val="37803BDE"/>
    <w:rsid w:val="37A4253C"/>
    <w:rsid w:val="37AB43F1"/>
    <w:rsid w:val="37AC219E"/>
    <w:rsid w:val="37B22FF3"/>
    <w:rsid w:val="37B5307D"/>
    <w:rsid w:val="37DC4E4D"/>
    <w:rsid w:val="37EB03D7"/>
    <w:rsid w:val="37F61EA3"/>
    <w:rsid w:val="37FA574F"/>
    <w:rsid w:val="3817284E"/>
    <w:rsid w:val="381B7996"/>
    <w:rsid w:val="38D32D8A"/>
    <w:rsid w:val="39DC7D6B"/>
    <w:rsid w:val="3A7829F2"/>
    <w:rsid w:val="3A84443A"/>
    <w:rsid w:val="3AA51919"/>
    <w:rsid w:val="3AA94D74"/>
    <w:rsid w:val="3AD8151B"/>
    <w:rsid w:val="3BEF6465"/>
    <w:rsid w:val="3C3F2833"/>
    <w:rsid w:val="3C561753"/>
    <w:rsid w:val="3C5F4C83"/>
    <w:rsid w:val="3C7F40C7"/>
    <w:rsid w:val="3C7F6294"/>
    <w:rsid w:val="3C971E18"/>
    <w:rsid w:val="3CDE471B"/>
    <w:rsid w:val="3CE533DA"/>
    <w:rsid w:val="3CE87055"/>
    <w:rsid w:val="3D3B7DB3"/>
    <w:rsid w:val="3D5440BC"/>
    <w:rsid w:val="3DBF3C2B"/>
    <w:rsid w:val="3DC56E57"/>
    <w:rsid w:val="3DEF1FC9"/>
    <w:rsid w:val="3E4D35E3"/>
    <w:rsid w:val="3F2F3033"/>
    <w:rsid w:val="3F92268F"/>
    <w:rsid w:val="409A272E"/>
    <w:rsid w:val="40C96C33"/>
    <w:rsid w:val="414677F2"/>
    <w:rsid w:val="41482CEE"/>
    <w:rsid w:val="42940948"/>
    <w:rsid w:val="42B46B36"/>
    <w:rsid w:val="4431144A"/>
    <w:rsid w:val="4453331F"/>
    <w:rsid w:val="447A7153"/>
    <w:rsid w:val="447F4C58"/>
    <w:rsid w:val="44E47277"/>
    <w:rsid w:val="455B516F"/>
    <w:rsid w:val="457052B2"/>
    <w:rsid w:val="46AC31BB"/>
    <w:rsid w:val="47161463"/>
    <w:rsid w:val="47283951"/>
    <w:rsid w:val="478C63FF"/>
    <w:rsid w:val="479614E0"/>
    <w:rsid w:val="47D3711A"/>
    <w:rsid w:val="47DE4415"/>
    <w:rsid w:val="482D13C8"/>
    <w:rsid w:val="484D0086"/>
    <w:rsid w:val="484F2050"/>
    <w:rsid w:val="487A6625"/>
    <w:rsid w:val="48DE65D4"/>
    <w:rsid w:val="48F5373D"/>
    <w:rsid w:val="49131CBF"/>
    <w:rsid w:val="49351B5A"/>
    <w:rsid w:val="496F6F12"/>
    <w:rsid w:val="4A58343D"/>
    <w:rsid w:val="4AE20F59"/>
    <w:rsid w:val="4AEA6060"/>
    <w:rsid w:val="4B243D92"/>
    <w:rsid w:val="4B4D1F25"/>
    <w:rsid w:val="4B4D636E"/>
    <w:rsid w:val="4B5F25AA"/>
    <w:rsid w:val="4B956C94"/>
    <w:rsid w:val="4BE3347F"/>
    <w:rsid w:val="4C5B20FE"/>
    <w:rsid w:val="4C8A7AFA"/>
    <w:rsid w:val="4C9C5B87"/>
    <w:rsid w:val="4CE44097"/>
    <w:rsid w:val="4DB0533F"/>
    <w:rsid w:val="4E0D470F"/>
    <w:rsid w:val="4E1B068A"/>
    <w:rsid w:val="4E3110F2"/>
    <w:rsid w:val="4E7F37F6"/>
    <w:rsid w:val="4EB17A4C"/>
    <w:rsid w:val="4EBF5F59"/>
    <w:rsid w:val="4ED21D66"/>
    <w:rsid w:val="4F2212C4"/>
    <w:rsid w:val="4F367AC5"/>
    <w:rsid w:val="4F4763E4"/>
    <w:rsid w:val="4F8763CD"/>
    <w:rsid w:val="4FC96B8B"/>
    <w:rsid w:val="4FE45773"/>
    <w:rsid w:val="4FF736F9"/>
    <w:rsid w:val="504F33D0"/>
    <w:rsid w:val="50C23D07"/>
    <w:rsid w:val="51381C0D"/>
    <w:rsid w:val="5209768D"/>
    <w:rsid w:val="520D7733"/>
    <w:rsid w:val="525C3CE7"/>
    <w:rsid w:val="52861F82"/>
    <w:rsid w:val="528A2602"/>
    <w:rsid w:val="52BA37DD"/>
    <w:rsid w:val="52EE3CBD"/>
    <w:rsid w:val="53735035"/>
    <w:rsid w:val="54705828"/>
    <w:rsid w:val="54BD30B0"/>
    <w:rsid w:val="55307831"/>
    <w:rsid w:val="55342CF9"/>
    <w:rsid w:val="555A25F1"/>
    <w:rsid w:val="559012A3"/>
    <w:rsid w:val="55E719F4"/>
    <w:rsid w:val="560154FB"/>
    <w:rsid w:val="565F186B"/>
    <w:rsid w:val="56FA4E40"/>
    <w:rsid w:val="572804A1"/>
    <w:rsid w:val="57380E36"/>
    <w:rsid w:val="57587B38"/>
    <w:rsid w:val="57F84A4C"/>
    <w:rsid w:val="58256200"/>
    <w:rsid w:val="58F15473"/>
    <w:rsid w:val="58FD6797"/>
    <w:rsid w:val="5A271646"/>
    <w:rsid w:val="5AA86A94"/>
    <w:rsid w:val="5B4C6399"/>
    <w:rsid w:val="5B553C20"/>
    <w:rsid w:val="5BAB26A8"/>
    <w:rsid w:val="5BE82E98"/>
    <w:rsid w:val="5C7D20F2"/>
    <w:rsid w:val="5CE9261B"/>
    <w:rsid w:val="5E3509F4"/>
    <w:rsid w:val="5E745DBE"/>
    <w:rsid w:val="5E783C56"/>
    <w:rsid w:val="60B528A1"/>
    <w:rsid w:val="60E00A3A"/>
    <w:rsid w:val="61131A15"/>
    <w:rsid w:val="61555891"/>
    <w:rsid w:val="6164059C"/>
    <w:rsid w:val="618017E9"/>
    <w:rsid w:val="61D75138"/>
    <w:rsid w:val="61E763F3"/>
    <w:rsid w:val="620B6B90"/>
    <w:rsid w:val="628F0DA7"/>
    <w:rsid w:val="640357A9"/>
    <w:rsid w:val="64A05CB5"/>
    <w:rsid w:val="64D0368A"/>
    <w:rsid w:val="64DB5B59"/>
    <w:rsid w:val="658A5D4B"/>
    <w:rsid w:val="65D905DE"/>
    <w:rsid w:val="66245681"/>
    <w:rsid w:val="66745795"/>
    <w:rsid w:val="6680370D"/>
    <w:rsid w:val="66807456"/>
    <w:rsid w:val="669323CE"/>
    <w:rsid w:val="66FE5F4E"/>
    <w:rsid w:val="67877EAC"/>
    <w:rsid w:val="67FC37A4"/>
    <w:rsid w:val="68016A6B"/>
    <w:rsid w:val="68640B42"/>
    <w:rsid w:val="68893CF7"/>
    <w:rsid w:val="68DD679C"/>
    <w:rsid w:val="68E63EB3"/>
    <w:rsid w:val="691240E0"/>
    <w:rsid w:val="69634D46"/>
    <w:rsid w:val="699B6A4B"/>
    <w:rsid w:val="69BC17A1"/>
    <w:rsid w:val="69F21BDF"/>
    <w:rsid w:val="6A54669A"/>
    <w:rsid w:val="6A883160"/>
    <w:rsid w:val="6B370A47"/>
    <w:rsid w:val="6B7A7A15"/>
    <w:rsid w:val="6BA00204"/>
    <w:rsid w:val="6BE24884"/>
    <w:rsid w:val="6C17436D"/>
    <w:rsid w:val="6C2669CE"/>
    <w:rsid w:val="6CFE7A1D"/>
    <w:rsid w:val="6D5E1055"/>
    <w:rsid w:val="6E182D60"/>
    <w:rsid w:val="6EB40699"/>
    <w:rsid w:val="6F4A519B"/>
    <w:rsid w:val="6FAC7C04"/>
    <w:rsid w:val="6FB645A0"/>
    <w:rsid w:val="6FBA49DF"/>
    <w:rsid w:val="70BF4B91"/>
    <w:rsid w:val="714141B4"/>
    <w:rsid w:val="717C4AD2"/>
    <w:rsid w:val="721C430B"/>
    <w:rsid w:val="72477710"/>
    <w:rsid w:val="727E667E"/>
    <w:rsid w:val="727F3E3A"/>
    <w:rsid w:val="729055BB"/>
    <w:rsid w:val="72A00486"/>
    <w:rsid w:val="732863AC"/>
    <w:rsid w:val="737501D1"/>
    <w:rsid w:val="73BB0416"/>
    <w:rsid w:val="73E831D5"/>
    <w:rsid w:val="741B775F"/>
    <w:rsid w:val="7447693D"/>
    <w:rsid w:val="74EC45FF"/>
    <w:rsid w:val="751C3136"/>
    <w:rsid w:val="752032F0"/>
    <w:rsid w:val="75580E94"/>
    <w:rsid w:val="7660460C"/>
    <w:rsid w:val="76AC27D6"/>
    <w:rsid w:val="76E61CD9"/>
    <w:rsid w:val="772067E2"/>
    <w:rsid w:val="779E42D6"/>
    <w:rsid w:val="77E54B1C"/>
    <w:rsid w:val="78570929"/>
    <w:rsid w:val="79222CE5"/>
    <w:rsid w:val="798C3C68"/>
    <w:rsid w:val="79EE2113"/>
    <w:rsid w:val="79FB18A1"/>
    <w:rsid w:val="79FE4C3D"/>
    <w:rsid w:val="7A392094"/>
    <w:rsid w:val="7A5061A7"/>
    <w:rsid w:val="7AEF6D53"/>
    <w:rsid w:val="7B721A41"/>
    <w:rsid w:val="7B8B5B04"/>
    <w:rsid w:val="7BB8348D"/>
    <w:rsid w:val="7BDD705E"/>
    <w:rsid w:val="7C3F78F0"/>
    <w:rsid w:val="7C4742B6"/>
    <w:rsid w:val="7CA25021"/>
    <w:rsid w:val="7CE2650A"/>
    <w:rsid w:val="7D1C4AF0"/>
    <w:rsid w:val="7D3036DB"/>
    <w:rsid w:val="7DA024D6"/>
    <w:rsid w:val="7E1E2D4D"/>
    <w:rsid w:val="7E3922FD"/>
    <w:rsid w:val="7E462FD2"/>
    <w:rsid w:val="7E4A2D4A"/>
    <w:rsid w:val="7E5C594E"/>
    <w:rsid w:val="7E7C4251"/>
    <w:rsid w:val="7EDA196C"/>
    <w:rsid w:val="7EF85238"/>
    <w:rsid w:val="7F291FA6"/>
    <w:rsid w:val="7F6556D9"/>
    <w:rsid w:val="7FDB4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link w:val="20"/>
    <w:qFormat/>
    <w:uiPriority w:val="9"/>
    <w:pPr>
      <w:spacing w:before="100" w:beforeAutospacing="1" w:after="100" w:afterAutospacing="1"/>
      <w:outlineLvl w:val="3"/>
    </w:pPr>
    <w:rPr>
      <w:b/>
      <w:bCs/>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rPr>
  </w:style>
  <w:style w:type="paragraph" w:styleId="6">
    <w:name w:val="Date"/>
    <w:basedOn w:val="1"/>
    <w:next w:val="1"/>
    <w:link w:val="23"/>
    <w:semiHidden/>
    <w:unhideWhenUsed/>
    <w:qFormat/>
    <w:uiPriority w:val="99"/>
    <w:pPr>
      <w:ind w:left="100" w:leftChars="2500"/>
    </w:pPr>
  </w:style>
  <w:style w:type="paragraph" w:styleId="7">
    <w:name w:val="Balloon Text"/>
    <w:basedOn w:val="1"/>
    <w:link w:val="32"/>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22"/>
    <w:rPr>
      <w:b/>
      <w:bCs/>
    </w:rPr>
  </w:style>
  <w:style w:type="character" w:styleId="15">
    <w:name w:val="Emphasis"/>
    <w:basedOn w:val="13"/>
    <w:qFormat/>
    <w:uiPriority w:val="20"/>
    <w:rPr>
      <w:i/>
      <w:iCs/>
    </w:rPr>
  </w:style>
  <w:style w:type="character" w:styleId="16">
    <w:name w:val="Hyperlink"/>
    <w:basedOn w:val="13"/>
    <w:semiHidden/>
    <w:unhideWhenUsed/>
    <w:qFormat/>
    <w:uiPriority w:val="99"/>
    <w:rPr>
      <w:color w:val="0000FF"/>
      <w:u w:val="single"/>
    </w:rPr>
  </w:style>
  <w:style w:type="character" w:customStyle="1" w:styleId="17">
    <w:name w:val="页眉 Char"/>
    <w:basedOn w:val="13"/>
    <w:link w:val="9"/>
    <w:qFormat/>
    <w:uiPriority w:val="99"/>
    <w:rPr>
      <w:sz w:val="18"/>
      <w:szCs w:val="18"/>
    </w:rPr>
  </w:style>
  <w:style w:type="character" w:customStyle="1" w:styleId="18">
    <w:name w:val="页脚 Char"/>
    <w:basedOn w:val="13"/>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标题 4 Char"/>
    <w:basedOn w:val="13"/>
    <w:link w:val="4"/>
    <w:qFormat/>
    <w:uiPriority w:val="9"/>
    <w:rPr>
      <w:rFonts w:ascii="宋体" w:hAnsi="宋体" w:eastAsia="宋体" w:cs="宋体"/>
      <w:b/>
      <w:bCs/>
      <w:kern w:val="0"/>
      <w:sz w:val="24"/>
      <w:szCs w:val="24"/>
    </w:rPr>
  </w:style>
  <w:style w:type="paragraph" w:customStyle="1" w:styleId="21">
    <w:name w:val="auther"/>
    <w:basedOn w:val="1"/>
    <w:qFormat/>
    <w:uiPriority w:val="0"/>
    <w:pPr>
      <w:spacing w:before="100" w:beforeAutospacing="1" w:after="100" w:afterAutospacing="1"/>
    </w:pPr>
  </w:style>
  <w:style w:type="character" w:customStyle="1" w:styleId="22">
    <w:name w:val="15"/>
    <w:basedOn w:val="13"/>
    <w:qFormat/>
    <w:uiPriority w:val="0"/>
    <w:rPr>
      <w:rFonts w:hint="default" w:ascii="Times New Roman" w:hAnsi="Times New Roman"/>
    </w:rPr>
  </w:style>
  <w:style w:type="character" w:customStyle="1" w:styleId="23">
    <w:name w:val="日期 Char"/>
    <w:basedOn w:val="13"/>
    <w:link w:val="6"/>
    <w:semiHidden/>
    <w:qFormat/>
    <w:uiPriority w:val="99"/>
  </w:style>
  <w:style w:type="paragraph" w:customStyle="1" w:styleId="24">
    <w:name w:val="段"/>
    <w:basedOn w:val="1"/>
    <w:link w:val="26"/>
    <w:qFormat/>
    <w:uiPriority w:val="0"/>
    <w:pPr>
      <w:autoSpaceDE w:val="0"/>
      <w:autoSpaceDN w:val="0"/>
      <w:ind w:firstLine="420" w:firstLineChars="200"/>
    </w:pPr>
    <w:rPr>
      <w:szCs w:val="21"/>
      <w:lang w:bidi="th-TH"/>
    </w:rPr>
  </w:style>
  <w:style w:type="paragraph" w:customStyle="1" w:styleId="25">
    <w:name w:val="二级条标题"/>
    <w:basedOn w:val="1"/>
    <w:next w:val="24"/>
    <w:qFormat/>
    <w:uiPriority w:val="0"/>
    <w:pPr>
      <w:spacing w:beforeLines="50" w:afterLines="50"/>
      <w:outlineLvl w:val="3"/>
    </w:pPr>
    <w:rPr>
      <w:rFonts w:ascii="黑体" w:hAnsi="黑体" w:eastAsia="黑体"/>
      <w:szCs w:val="21"/>
      <w:lang w:bidi="th-TH"/>
    </w:rPr>
  </w:style>
  <w:style w:type="character" w:customStyle="1" w:styleId="26">
    <w:name w:val="段 Char"/>
    <w:basedOn w:val="13"/>
    <w:link w:val="24"/>
    <w:qFormat/>
    <w:uiPriority w:val="0"/>
    <w:rPr>
      <w:rFonts w:ascii="宋体" w:hAnsi="宋体" w:eastAsia="宋体" w:cs="宋体"/>
      <w:kern w:val="0"/>
      <w:szCs w:val="21"/>
      <w:lang w:bidi="th-TH"/>
    </w:rPr>
  </w:style>
  <w:style w:type="paragraph" w:customStyle="1" w:styleId="27">
    <w:name w:val="一级条标题"/>
    <w:next w:val="24"/>
    <w:qFormat/>
    <w:uiPriority w:val="0"/>
    <w:pPr>
      <w:spacing w:beforeLines="50" w:afterLines="50"/>
      <w:ind w:left="709"/>
      <w:outlineLvl w:val="2"/>
    </w:pPr>
    <w:rPr>
      <w:rFonts w:ascii="黑体" w:hAnsi="Times New Roman" w:eastAsia="黑体" w:cs="Times New Roman"/>
      <w:kern w:val="0"/>
      <w:sz w:val="21"/>
      <w:szCs w:val="21"/>
      <w:lang w:val="en-US" w:eastAsia="zh-CN" w:bidi="ar-SA"/>
    </w:rPr>
  </w:style>
  <w:style w:type="paragraph" w:customStyle="1" w:styleId="28">
    <w:name w:val="章标题"/>
    <w:next w:val="24"/>
    <w:qFormat/>
    <w:uiPriority w:val="0"/>
    <w:p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9">
    <w:name w:val="三级条标题"/>
    <w:basedOn w:val="25"/>
    <w:next w:val="24"/>
    <w:qFormat/>
    <w:uiPriority w:val="0"/>
    <w:pPr>
      <w:spacing w:before="50" w:after="50"/>
      <w:outlineLvl w:val="4"/>
    </w:pPr>
    <w:rPr>
      <w:rFonts w:hAnsi="Times New Roman" w:cs="Times New Roman"/>
      <w:lang w:bidi="ar-SA"/>
    </w:rPr>
  </w:style>
  <w:style w:type="paragraph" w:customStyle="1" w:styleId="30">
    <w:name w:val="四级条标题"/>
    <w:basedOn w:val="29"/>
    <w:next w:val="24"/>
    <w:qFormat/>
    <w:uiPriority w:val="0"/>
    <w:pPr>
      <w:outlineLvl w:val="5"/>
    </w:pPr>
  </w:style>
  <w:style w:type="paragraph" w:customStyle="1" w:styleId="31">
    <w:name w:val="五级条标题"/>
    <w:basedOn w:val="30"/>
    <w:next w:val="24"/>
    <w:qFormat/>
    <w:uiPriority w:val="0"/>
    <w:pPr>
      <w:outlineLvl w:val="6"/>
    </w:pPr>
  </w:style>
  <w:style w:type="character" w:customStyle="1" w:styleId="32">
    <w:name w:val="批注框文本 Char"/>
    <w:basedOn w:val="13"/>
    <w:link w:val="7"/>
    <w:semiHidden/>
    <w:qFormat/>
    <w:uiPriority w:val="99"/>
    <w:rPr>
      <w:rFonts w:ascii="宋体" w:hAnsi="宋体" w:eastAsia="宋体" w:cs="宋体"/>
      <w:kern w:val="0"/>
      <w:sz w:val="18"/>
      <w:szCs w:val="18"/>
    </w:rPr>
  </w:style>
  <w:style w:type="character" w:customStyle="1" w:styleId="33">
    <w:name w:val="标题 1 Char"/>
    <w:basedOn w:val="13"/>
    <w:link w:val="2"/>
    <w:qFormat/>
    <w:uiPriority w:val="9"/>
    <w:rPr>
      <w:rFonts w:ascii="宋体" w:hAnsi="宋体" w:eastAsia="宋体" w:cs="宋体"/>
      <w:b/>
      <w:bCs/>
      <w:kern w:val="44"/>
      <w:sz w:val="44"/>
      <w:szCs w:val="44"/>
    </w:rPr>
  </w:style>
  <w:style w:type="paragraph" w:customStyle="1" w:styleId="34">
    <w:name w:val="标准文件_字母编号列项（一级）"/>
    <w:qFormat/>
    <w:uiPriority w:val="0"/>
    <w:pPr>
      <w:tabs>
        <w:tab w:val="left" w:pos="851"/>
      </w:tabs>
      <w:ind w:left="851" w:hanging="426"/>
      <w:jc w:val="both"/>
    </w:pPr>
    <w:rPr>
      <w:rFonts w:ascii="宋体" w:hAnsi="Times New Roman" w:eastAsia="宋体" w:cs="Times New Roman"/>
      <w:kern w:val="0"/>
      <w:sz w:val="21"/>
      <w:szCs w:val="20"/>
      <w:lang w:val="en-US" w:eastAsia="zh-CN" w:bidi="ar-SA"/>
    </w:rPr>
  </w:style>
  <w:style w:type="character" w:customStyle="1" w:styleId="35">
    <w:name w:val="fontstyle01"/>
    <w:basedOn w:val="13"/>
    <w:qFormat/>
    <w:uiPriority w:val="0"/>
    <w:rPr>
      <w:rFonts w:hint="default" w:ascii="FZSSK--GBK1-0" w:hAnsi="FZSSK--GBK1-0"/>
      <w:color w:val="000000"/>
      <w:sz w:val="20"/>
      <w:szCs w:val="20"/>
    </w:rPr>
  </w:style>
  <w:style w:type="paragraph" w:customStyle="1" w:styleId="36">
    <w:name w:val="标准文件_段"/>
    <w:link w:val="37"/>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37">
    <w:name w:val="标准文件_段 Char"/>
    <w:link w:val="36"/>
    <w:qFormat/>
    <w:uiPriority w:val="0"/>
    <w:rPr>
      <w:rFonts w:ascii="宋体" w:hAnsi="Times New Roman" w:eastAsia="宋体" w:cs="Times New Roman"/>
      <w:kern w:val="0"/>
      <w:szCs w:val="20"/>
    </w:rPr>
  </w:style>
  <w:style w:type="paragraph" w:customStyle="1" w:styleId="38">
    <w:name w:val="Default"/>
    <w:unhideWhenUsed/>
    <w:qFormat/>
    <w:uiPriority w:val="99"/>
    <w:pPr>
      <w:widowControl w:val="0"/>
      <w:autoSpaceDE w:val="0"/>
      <w:autoSpaceDN w:val="0"/>
      <w:adjustRightInd w:val="0"/>
      <w:spacing w:beforeLines="0" w:afterLines="0"/>
    </w:pPr>
    <w:rPr>
      <w:rFonts w:hint="eastAsia" w:ascii="黑体" w:hAnsi="黑体" w:eastAsia="黑体" w:cs="Times New Roman"/>
      <w:color w:val="000000"/>
      <w:sz w:val="24"/>
      <w:szCs w:val="24"/>
    </w:rPr>
  </w:style>
  <w:style w:type="paragraph" w:customStyle="1" w:styleId="39">
    <w:name w:val="标准文件_术语条一"/>
    <w:basedOn w:val="40"/>
    <w:next w:val="36"/>
    <w:qFormat/>
    <w:uiPriority w:val="0"/>
  </w:style>
  <w:style w:type="paragraph" w:customStyle="1" w:styleId="40">
    <w:name w:val="标准文件_一级无标题"/>
    <w:basedOn w:val="41"/>
    <w:qFormat/>
    <w:uiPriority w:val="0"/>
    <w:pPr>
      <w:spacing w:before="0" w:beforeLines="0" w:after="0" w:afterLines="0"/>
      <w:outlineLvl w:val="9"/>
    </w:pPr>
    <w:rPr>
      <w:rFonts w:ascii="宋体" w:eastAsia="宋体"/>
    </w:rPr>
  </w:style>
  <w:style w:type="paragraph" w:customStyle="1" w:styleId="41">
    <w:name w:val="标准文件_一级条标题"/>
    <w:basedOn w:val="42"/>
    <w:next w:val="36"/>
    <w:qFormat/>
    <w:uiPriority w:val="0"/>
    <w:pPr>
      <w:numPr>
        <w:ilvl w:val="2"/>
      </w:numPr>
      <w:spacing w:before="50" w:beforeLines="50" w:after="50" w:afterLines="50"/>
      <w:outlineLvl w:val="1"/>
    </w:pPr>
  </w:style>
  <w:style w:type="paragraph" w:customStyle="1" w:styleId="42">
    <w:name w:val="标准文件_章标题"/>
    <w:next w:val="3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3">
    <w:name w:val="标准文件_二级条标题"/>
    <w:next w:val="36"/>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14023</Words>
  <Characters>15237</Characters>
  <Lines>125</Lines>
  <Paragraphs>35</Paragraphs>
  <TotalTime>4</TotalTime>
  <ScaleCrop>false</ScaleCrop>
  <LinksUpToDate>false</LinksUpToDate>
  <CharactersWithSpaces>15467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2023-04-21T02:35:00Z</dcterms:created>
  <dc:creator>李正荣 李正荣</dc:creator>
  <cp:lastModifiedBy>林娇</cp:lastModifiedBy>
  <dcterms:modified xsi:type="dcterms:W3CDTF">2025-07-11T02:23:43Z</dcterms:modified>
  <cp:revision>2095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7DB6DCE36DD24BBEB82F77F57CD870E5</vt:lpwstr>
  </property>
</Properties>
</file>