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FA111">
      <w:pPr>
        <w:spacing w:line="560" w:lineRule="exact"/>
        <w:jc w:val="center"/>
        <w:rPr>
          <w:rFonts w:hint="eastAsia" w:eastAsia="方正小标宋简体" w:cs="方正小标宋简体"/>
          <w:sz w:val="44"/>
          <w:szCs w:val="44"/>
        </w:rPr>
      </w:pPr>
      <w:bookmarkStart w:id="0" w:name="_GoBack"/>
      <w:bookmarkEnd w:id="0"/>
      <w:r>
        <w:rPr>
          <w:rFonts w:hint="eastAsia" w:eastAsia="方正小标宋简体" w:cs="方正小标宋简体"/>
          <w:sz w:val="44"/>
          <w:szCs w:val="44"/>
          <w:lang w:eastAsia="zh-CN"/>
        </w:rPr>
        <w:t>湛江市</w:t>
      </w:r>
      <w:r>
        <w:rPr>
          <w:rFonts w:hint="eastAsia" w:eastAsia="方正小标宋简体" w:cs="方正小标宋简体"/>
          <w:sz w:val="44"/>
          <w:szCs w:val="44"/>
          <w:lang w:val="en-US" w:eastAsia="zh-CN"/>
        </w:rPr>
        <w:t>建筑节能保温材料</w:t>
      </w:r>
      <w:r>
        <w:rPr>
          <w:rFonts w:hint="eastAsia" w:eastAsia="方正小标宋简体" w:cs="方正小标宋简体"/>
          <w:sz w:val="44"/>
          <w:szCs w:val="44"/>
        </w:rPr>
        <w:t>产品质量</w:t>
      </w:r>
    </w:p>
    <w:p w14:paraId="2DF97BE7">
      <w:pPr>
        <w:spacing w:line="560" w:lineRule="exact"/>
        <w:jc w:val="center"/>
        <w:rPr>
          <w:rFonts w:eastAsia="方正小标宋简体" w:cs="方正小标宋简体"/>
          <w:sz w:val="44"/>
          <w:szCs w:val="44"/>
        </w:rPr>
      </w:pPr>
      <w:r>
        <w:rPr>
          <w:rFonts w:hint="eastAsia" w:eastAsia="方正小标宋简体" w:cs="方正小标宋简体"/>
          <w:sz w:val="44"/>
          <w:szCs w:val="44"/>
        </w:rPr>
        <w:t>监督抽查实施细则</w:t>
      </w:r>
    </w:p>
    <w:p w14:paraId="268C154B">
      <w:pPr>
        <w:spacing w:line="560" w:lineRule="exact"/>
        <w:jc w:val="center"/>
        <w:rPr>
          <w:rFonts w:eastAsia="楷体_GB2312" w:cs="楷体_GB2312"/>
          <w:szCs w:val="40"/>
        </w:rPr>
      </w:pPr>
      <w:r>
        <w:rPr>
          <w:rFonts w:hint="eastAsia" w:eastAsia="楷体_GB2312" w:cs="楷体_GB2312"/>
          <w:szCs w:val="40"/>
        </w:rPr>
        <w:t>（2026年版）</w:t>
      </w:r>
    </w:p>
    <w:p w14:paraId="020AD71B">
      <w:pPr>
        <w:spacing w:line="560" w:lineRule="exact"/>
        <w:rPr>
          <w:rFonts w:cs="仿宋_GB2312"/>
          <w:szCs w:val="40"/>
        </w:rPr>
      </w:pPr>
    </w:p>
    <w:p w14:paraId="4072ED91">
      <w:pPr>
        <w:spacing w:line="580" w:lineRule="exact"/>
        <w:ind w:firstLine="640" w:firstLineChars="200"/>
        <w:rPr>
          <w:rFonts w:eastAsia="黑体" w:cs="黑体"/>
          <w:szCs w:val="40"/>
        </w:rPr>
      </w:pPr>
      <w:r>
        <w:rPr>
          <w:rFonts w:hint="eastAsia" w:eastAsia="黑体" w:cs="黑体"/>
          <w:szCs w:val="40"/>
        </w:rPr>
        <w:t>1 抽样方法</w:t>
      </w:r>
    </w:p>
    <w:p w14:paraId="1CBDB447">
      <w:pPr>
        <w:spacing w:line="580" w:lineRule="exact"/>
        <w:ind w:firstLine="640" w:firstLineChars="200"/>
        <w:rPr>
          <w:szCs w:val="32"/>
        </w:rPr>
      </w:pPr>
      <w:r>
        <w:rPr>
          <w:szCs w:val="32"/>
        </w:rPr>
        <w:t>以随机抽样的方式在被抽查市场主体的待销产品中抽取。</w:t>
      </w:r>
      <w:r>
        <w:rPr>
          <w:rFonts w:hint="eastAsia"/>
          <w:szCs w:val="32"/>
        </w:rPr>
        <w:t>抽查对象主要为湛江市内企业生产的产品，其样品既可在本辖区生产者处，也可在线下销售者处抽取，优先抽取生产者。</w:t>
      </w:r>
    </w:p>
    <w:p w14:paraId="4A41C87B">
      <w:pPr>
        <w:spacing w:line="580" w:lineRule="exact"/>
        <w:ind w:firstLine="636" w:firstLineChars="199"/>
        <w:rPr>
          <w:szCs w:val="32"/>
        </w:rPr>
      </w:pPr>
      <w:r>
        <w:rPr>
          <w:szCs w:val="32"/>
        </w:rPr>
        <w:t>绝热用挤塑聚苯乙烯泡沫塑料：抽查样品基数满足抽样数量即可，在同一型号（或规格）合格产品中抽取24m</w:t>
      </w:r>
      <w:r>
        <w:rPr>
          <w:szCs w:val="32"/>
          <w:vertAlign w:val="superscript"/>
        </w:rPr>
        <w:t>2</w:t>
      </w:r>
      <w:r>
        <w:rPr>
          <w:szCs w:val="32"/>
        </w:rPr>
        <w:t>，其中12m</w:t>
      </w:r>
      <w:r>
        <w:rPr>
          <w:szCs w:val="32"/>
          <w:vertAlign w:val="superscript"/>
        </w:rPr>
        <w:t>2</w:t>
      </w:r>
      <w:r>
        <w:rPr>
          <w:szCs w:val="32"/>
        </w:rPr>
        <w:t>作为检验样品，12m</w:t>
      </w:r>
      <w:r>
        <w:rPr>
          <w:szCs w:val="32"/>
          <w:vertAlign w:val="superscript"/>
        </w:rPr>
        <w:t>2</w:t>
      </w:r>
      <w:r>
        <w:rPr>
          <w:szCs w:val="32"/>
        </w:rPr>
        <w:t>作为备用样品。绝热用挤塑聚苯乙烯泡沫塑料应自生产之日起在自然条件下放置超过90d。</w:t>
      </w:r>
    </w:p>
    <w:p w14:paraId="577313EA">
      <w:pPr>
        <w:spacing w:line="560" w:lineRule="exact"/>
        <w:ind w:firstLine="640" w:firstLineChars="200"/>
        <w:rPr>
          <w:rFonts w:eastAsia="黑体" w:cs="黑体"/>
          <w:szCs w:val="40"/>
        </w:rPr>
      </w:pPr>
      <w:r>
        <w:rPr>
          <w:rFonts w:hint="eastAsia" w:eastAsia="黑体" w:cs="黑体"/>
          <w:szCs w:val="40"/>
        </w:rPr>
        <w:t>2 检验依据</w:t>
      </w:r>
    </w:p>
    <w:p w14:paraId="658E22C4">
      <w:pPr>
        <w:spacing w:line="560" w:lineRule="exact"/>
        <w:jc w:val="center"/>
        <w:rPr>
          <w:szCs w:val="32"/>
        </w:rPr>
      </w:pPr>
      <w:r>
        <w:rPr>
          <w:szCs w:val="32"/>
        </w:rPr>
        <w:t>表</w:t>
      </w:r>
      <w:r>
        <w:rPr>
          <w:rFonts w:hint="eastAsia"/>
          <w:szCs w:val="32"/>
          <w:lang w:val="en-US" w:eastAsia="zh-CN"/>
        </w:rPr>
        <w:t>1</w:t>
      </w:r>
      <w:r>
        <w:rPr>
          <w:szCs w:val="32"/>
        </w:rPr>
        <w:t xml:space="preserve"> 绝热用挤塑聚苯乙烯泡沫塑料</w:t>
      </w:r>
    </w:p>
    <w:tbl>
      <w:tblPr>
        <w:tblStyle w:val="7"/>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150"/>
        <w:gridCol w:w="2905"/>
        <w:gridCol w:w="3558"/>
      </w:tblGrid>
      <w:tr w14:paraId="52D1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288" w:type="dxa"/>
            <w:vAlign w:val="center"/>
          </w:tcPr>
          <w:p w14:paraId="6D866782">
            <w:pPr>
              <w:spacing w:line="560" w:lineRule="exact"/>
              <w:jc w:val="center"/>
              <w:rPr>
                <w:b/>
                <w:bCs/>
                <w:sz w:val="21"/>
                <w:szCs w:val="21"/>
              </w:rPr>
            </w:pPr>
            <w:r>
              <w:rPr>
                <w:b/>
                <w:bCs/>
                <w:sz w:val="21"/>
                <w:szCs w:val="21"/>
              </w:rPr>
              <w:t>序号</w:t>
            </w:r>
          </w:p>
        </w:tc>
        <w:tc>
          <w:tcPr>
            <w:tcW w:w="4055" w:type="dxa"/>
            <w:gridSpan w:val="2"/>
            <w:vAlign w:val="center"/>
          </w:tcPr>
          <w:p w14:paraId="600CF4D8">
            <w:pPr>
              <w:spacing w:line="560" w:lineRule="exact"/>
              <w:jc w:val="center"/>
              <w:rPr>
                <w:b/>
                <w:bCs/>
                <w:sz w:val="21"/>
                <w:szCs w:val="21"/>
              </w:rPr>
            </w:pPr>
            <w:r>
              <w:rPr>
                <w:b/>
                <w:bCs/>
                <w:sz w:val="21"/>
                <w:szCs w:val="21"/>
              </w:rPr>
              <w:t>检验项目</w:t>
            </w:r>
          </w:p>
        </w:tc>
        <w:tc>
          <w:tcPr>
            <w:tcW w:w="3558" w:type="dxa"/>
            <w:vAlign w:val="center"/>
          </w:tcPr>
          <w:p w14:paraId="06254351">
            <w:pPr>
              <w:spacing w:line="560" w:lineRule="exact"/>
              <w:jc w:val="center"/>
              <w:rPr>
                <w:b/>
                <w:bCs/>
                <w:sz w:val="21"/>
                <w:szCs w:val="21"/>
              </w:rPr>
            </w:pPr>
            <w:r>
              <w:rPr>
                <w:b/>
                <w:bCs/>
                <w:sz w:val="21"/>
                <w:szCs w:val="21"/>
              </w:rPr>
              <w:t>检验方法</w:t>
            </w:r>
          </w:p>
        </w:tc>
      </w:tr>
      <w:tr w14:paraId="7F64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1288" w:type="dxa"/>
            <w:vMerge w:val="restart"/>
            <w:vAlign w:val="center"/>
          </w:tcPr>
          <w:p w14:paraId="7DA949FD">
            <w:pPr>
              <w:spacing w:line="560" w:lineRule="exact"/>
              <w:jc w:val="center"/>
              <w:rPr>
                <w:rFonts w:hint="eastAsia" w:eastAsia="仿宋_GB2312"/>
                <w:sz w:val="21"/>
                <w:szCs w:val="21"/>
                <w:lang w:eastAsia="zh-CN"/>
              </w:rPr>
            </w:pPr>
            <w:r>
              <w:rPr>
                <w:rFonts w:hint="eastAsia"/>
                <w:sz w:val="21"/>
                <w:szCs w:val="21"/>
                <w:lang w:val="en-US" w:eastAsia="zh-CN"/>
              </w:rPr>
              <w:t>1</w:t>
            </w:r>
          </w:p>
        </w:tc>
        <w:tc>
          <w:tcPr>
            <w:tcW w:w="1150" w:type="dxa"/>
            <w:vMerge w:val="restart"/>
            <w:vAlign w:val="center"/>
          </w:tcPr>
          <w:p w14:paraId="71A3EBFA">
            <w:pPr>
              <w:pStyle w:val="2"/>
              <w:spacing w:line="360" w:lineRule="exact"/>
              <w:ind w:left="-15" w:leftChars="-8" w:hanging="10" w:hangingChars="5"/>
              <w:jc w:val="center"/>
              <w:rPr>
                <w:rFonts w:ascii="Times New Roman" w:hAnsi="Times New Roman" w:eastAsia="仿宋_GB2312"/>
                <w:sz w:val="21"/>
                <w:szCs w:val="21"/>
              </w:rPr>
            </w:pPr>
            <w:r>
              <w:rPr>
                <w:rFonts w:hint="eastAsia" w:ascii="Times New Roman" w:hAnsi="Times New Roman" w:eastAsia="仿宋_GB2312"/>
                <w:sz w:val="21"/>
                <w:szCs w:val="21"/>
              </w:rPr>
              <w:t>绝热性能</w:t>
            </w:r>
          </w:p>
        </w:tc>
        <w:tc>
          <w:tcPr>
            <w:tcW w:w="2905" w:type="dxa"/>
            <w:vAlign w:val="center"/>
          </w:tcPr>
          <w:p w14:paraId="7B808CCE">
            <w:pPr>
              <w:pStyle w:val="2"/>
              <w:spacing w:line="360" w:lineRule="exact"/>
              <w:ind w:left="-15" w:leftChars="-8" w:hanging="10" w:hangingChars="5"/>
              <w:jc w:val="center"/>
              <w:rPr>
                <w:rFonts w:ascii="Times New Roman" w:hAnsi="Times New Roman" w:eastAsia="仿宋_GB2312"/>
                <w:sz w:val="21"/>
                <w:szCs w:val="21"/>
              </w:rPr>
            </w:pPr>
            <w:r>
              <w:rPr>
                <w:rFonts w:ascii="Times New Roman" w:hAnsi="Times New Roman" w:eastAsia="仿宋_GB2312"/>
                <w:sz w:val="21"/>
                <w:szCs w:val="21"/>
              </w:rPr>
              <w:t>导热系数</w:t>
            </w:r>
          </w:p>
          <w:p w14:paraId="49836423">
            <w:pPr>
              <w:pStyle w:val="2"/>
              <w:spacing w:line="360" w:lineRule="exact"/>
              <w:ind w:left="-15" w:leftChars="-8" w:hanging="10" w:hangingChars="5"/>
              <w:jc w:val="center"/>
              <w:rPr>
                <w:rFonts w:ascii="Times New Roman" w:hAnsi="Times New Roman" w:eastAsia="仿宋_GB2312"/>
                <w:sz w:val="21"/>
                <w:szCs w:val="21"/>
              </w:rPr>
            </w:pPr>
            <w:r>
              <w:rPr>
                <w:rFonts w:ascii="Times New Roman" w:hAnsi="Times New Roman" w:eastAsia="仿宋_GB2312"/>
                <w:sz w:val="21"/>
                <w:szCs w:val="21"/>
              </w:rPr>
              <w:t>平均温度25</w:t>
            </w:r>
            <w:r>
              <w:rPr>
                <w:rFonts w:hint="eastAsia" w:cs="宋体"/>
                <w:sz w:val="21"/>
                <w:szCs w:val="21"/>
              </w:rPr>
              <w:t>℃</w:t>
            </w:r>
          </w:p>
        </w:tc>
        <w:tc>
          <w:tcPr>
            <w:tcW w:w="3558" w:type="dxa"/>
            <w:vMerge w:val="restart"/>
            <w:vAlign w:val="center"/>
          </w:tcPr>
          <w:p w14:paraId="24605D6A">
            <w:pPr>
              <w:pStyle w:val="2"/>
              <w:spacing w:line="360" w:lineRule="exact"/>
              <w:ind w:left="-15" w:leftChars="-8" w:hanging="10" w:hangingChars="5"/>
              <w:jc w:val="center"/>
              <w:rPr>
                <w:rFonts w:ascii="Times New Roman" w:hAnsi="Times New Roman" w:eastAsia="仿宋_GB2312"/>
                <w:sz w:val="21"/>
                <w:szCs w:val="21"/>
              </w:rPr>
            </w:pPr>
            <w:r>
              <w:rPr>
                <w:rFonts w:ascii="Times New Roman" w:hAnsi="Times New Roman" w:eastAsia="仿宋_GB2312"/>
                <w:sz w:val="21"/>
                <w:szCs w:val="21"/>
              </w:rPr>
              <w:t>GB/T 10294—2008</w:t>
            </w:r>
          </w:p>
          <w:p w14:paraId="64117CC6">
            <w:pPr>
              <w:pStyle w:val="2"/>
              <w:spacing w:line="360" w:lineRule="exact"/>
              <w:ind w:left="-15" w:leftChars="-8" w:hanging="10" w:hangingChars="5"/>
              <w:jc w:val="center"/>
              <w:rPr>
                <w:rFonts w:ascii="Times New Roman" w:hAnsi="Times New Roman" w:eastAsia="仿宋_GB2312"/>
                <w:sz w:val="21"/>
                <w:szCs w:val="21"/>
              </w:rPr>
            </w:pPr>
            <w:r>
              <w:rPr>
                <w:rFonts w:ascii="Times New Roman" w:hAnsi="Times New Roman" w:eastAsia="仿宋_GB2312"/>
                <w:sz w:val="21"/>
                <w:szCs w:val="21"/>
              </w:rPr>
              <w:t>GB/T 10295—2008</w:t>
            </w:r>
          </w:p>
          <w:p w14:paraId="43BF5C7C">
            <w:pPr>
              <w:pStyle w:val="2"/>
              <w:spacing w:line="360" w:lineRule="exact"/>
              <w:ind w:left="-15" w:leftChars="-8" w:hanging="10" w:hangingChars="5"/>
              <w:jc w:val="center"/>
              <w:rPr>
                <w:rFonts w:ascii="Times New Roman" w:hAnsi="Times New Roman" w:eastAsia="仿宋_GB2312"/>
                <w:sz w:val="21"/>
                <w:szCs w:val="21"/>
              </w:rPr>
            </w:pPr>
            <w:r>
              <w:rPr>
                <w:rFonts w:ascii="Times New Roman" w:hAnsi="Times New Roman" w:eastAsia="仿宋_GB2312"/>
                <w:sz w:val="21"/>
                <w:szCs w:val="21"/>
              </w:rPr>
              <w:t>GB/T 10801.2—20</w:t>
            </w:r>
            <w:r>
              <w:rPr>
                <w:rFonts w:hint="eastAsia" w:ascii="Times New Roman" w:hAnsi="Times New Roman" w:eastAsia="仿宋_GB2312"/>
                <w:sz w:val="21"/>
                <w:szCs w:val="21"/>
              </w:rPr>
              <w:t>18</w:t>
            </w:r>
          </w:p>
        </w:tc>
      </w:tr>
      <w:tr w14:paraId="4825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288" w:type="dxa"/>
            <w:vMerge w:val="continue"/>
            <w:vAlign w:val="center"/>
          </w:tcPr>
          <w:p w14:paraId="431CB076">
            <w:pPr>
              <w:spacing w:line="560" w:lineRule="exact"/>
              <w:jc w:val="center"/>
              <w:rPr>
                <w:sz w:val="21"/>
                <w:szCs w:val="21"/>
              </w:rPr>
            </w:pPr>
          </w:p>
        </w:tc>
        <w:tc>
          <w:tcPr>
            <w:tcW w:w="1150" w:type="dxa"/>
            <w:vMerge w:val="continue"/>
            <w:vAlign w:val="center"/>
          </w:tcPr>
          <w:p w14:paraId="2DEE9A2C">
            <w:pPr>
              <w:pStyle w:val="2"/>
              <w:spacing w:line="360" w:lineRule="exact"/>
              <w:ind w:left="-15" w:leftChars="-8" w:hanging="10" w:hangingChars="5"/>
              <w:jc w:val="center"/>
              <w:rPr>
                <w:rFonts w:ascii="Times New Roman" w:hAnsi="Times New Roman" w:eastAsia="仿宋_GB2312"/>
                <w:sz w:val="21"/>
                <w:szCs w:val="21"/>
              </w:rPr>
            </w:pPr>
          </w:p>
        </w:tc>
        <w:tc>
          <w:tcPr>
            <w:tcW w:w="2905" w:type="dxa"/>
            <w:vAlign w:val="center"/>
          </w:tcPr>
          <w:p w14:paraId="75C5259E">
            <w:pPr>
              <w:pStyle w:val="2"/>
              <w:spacing w:line="360" w:lineRule="exact"/>
              <w:ind w:left="-15" w:leftChars="-8" w:hanging="10" w:hangingChars="5"/>
              <w:jc w:val="center"/>
              <w:rPr>
                <w:rFonts w:ascii="Times New Roman" w:hAnsi="Times New Roman" w:eastAsia="仿宋_GB2312"/>
                <w:sz w:val="21"/>
                <w:szCs w:val="21"/>
              </w:rPr>
            </w:pPr>
            <w:r>
              <w:rPr>
                <w:rFonts w:hint="eastAsia" w:ascii="Times New Roman" w:hAnsi="Times New Roman" w:eastAsia="仿宋_GB2312"/>
                <w:sz w:val="21"/>
                <w:szCs w:val="21"/>
              </w:rPr>
              <w:t>热阻</w:t>
            </w:r>
          </w:p>
          <w:p w14:paraId="27411CF4">
            <w:pPr>
              <w:pStyle w:val="2"/>
              <w:spacing w:line="360" w:lineRule="exact"/>
              <w:ind w:left="-15" w:leftChars="-8" w:hanging="10" w:hangingChars="5"/>
              <w:jc w:val="center"/>
              <w:rPr>
                <w:rFonts w:ascii="Times New Roman" w:hAnsi="Times New Roman" w:eastAsia="仿宋_GB2312"/>
                <w:sz w:val="21"/>
                <w:szCs w:val="21"/>
              </w:rPr>
            </w:pPr>
            <w:r>
              <w:rPr>
                <w:rFonts w:hint="eastAsia" w:ascii="Times New Roman" w:hAnsi="Times New Roman" w:eastAsia="仿宋_GB2312"/>
                <w:sz w:val="21"/>
                <w:szCs w:val="21"/>
              </w:rPr>
              <w:t>厚度25mm时</w:t>
            </w:r>
          </w:p>
          <w:p w14:paraId="3EAA6573">
            <w:pPr>
              <w:pStyle w:val="2"/>
              <w:spacing w:line="360" w:lineRule="exact"/>
              <w:ind w:left="-15" w:leftChars="-8" w:hanging="10" w:hangingChars="5"/>
              <w:jc w:val="center"/>
              <w:rPr>
                <w:rFonts w:ascii="Times New Roman" w:hAnsi="Times New Roman" w:eastAsia="仿宋_GB2312"/>
                <w:sz w:val="21"/>
                <w:szCs w:val="21"/>
              </w:rPr>
            </w:pPr>
            <w:r>
              <w:rPr>
                <w:rFonts w:ascii="Times New Roman" w:hAnsi="Times New Roman" w:eastAsia="仿宋_GB2312"/>
                <w:sz w:val="21"/>
                <w:szCs w:val="21"/>
              </w:rPr>
              <w:t>平均温度25</w:t>
            </w:r>
            <w:r>
              <w:rPr>
                <w:rFonts w:hint="eastAsia" w:cs="宋体"/>
                <w:sz w:val="21"/>
                <w:szCs w:val="21"/>
              </w:rPr>
              <w:t>℃</w:t>
            </w:r>
          </w:p>
        </w:tc>
        <w:tc>
          <w:tcPr>
            <w:tcW w:w="3558" w:type="dxa"/>
            <w:vMerge w:val="continue"/>
            <w:vAlign w:val="center"/>
          </w:tcPr>
          <w:p w14:paraId="2A02CAAA">
            <w:pPr>
              <w:pStyle w:val="2"/>
              <w:spacing w:line="360" w:lineRule="exact"/>
              <w:ind w:left="-15" w:leftChars="-8" w:hanging="10" w:hangingChars="5"/>
              <w:jc w:val="center"/>
              <w:rPr>
                <w:rFonts w:ascii="Times New Roman" w:hAnsi="Times New Roman" w:eastAsia="仿宋_GB2312"/>
                <w:sz w:val="21"/>
                <w:szCs w:val="21"/>
              </w:rPr>
            </w:pPr>
          </w:p>
        </w:tc>
      </w:tr>
      <w:tr w14:paraId="662E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88" w:type="dxa"/>
            <w:vAlign w:val="center"/>
          </w:tcPr>
          <w:p w14:paraId="26E0043E">
            <w:pPr>
              <w:spacing w:line="560" w:lineRule="exact"/>
              <w:jc w:val="center"/>
              <w:rPr>
                <w:rFonts w:hint="eastAsia" w:eastAsia="仿宋_GB2312"/>
                <w:sz w:val="21"/>
                <w:szCs w:val="21"/>
                <w:lang w:eastAsia="zh-CN"/>
              </w:rPr>
            </w:pPr>
            <w:r>
              <w:rPr>
                <w:rFonts w:hint="eastAsia"/>
                <w:sz w:val="21"/>
                <w:szCs w:val="21"/>
                <w:lang w:val="en-US" w:eastAsia="zh-CN"/>
              </w:rPr>
              <w:t>2</w:t>
            </w:r>
          </w:p>
        </w:tc>
        <w:tc>
          <w:tcPr>
            <w:tcW w:w="4055" w:type="dxa"/>
            <w:gridSpan w:val="2"/>
            <w:vAlign w:val="center"/>
          </w:tcPr>
          <w:p w14:paraId="4898E211">
            <w:pPr>
              <w:pStyle w:val="2"/>
              <w:spacing w:line="360" w:lineRule="exact"/>
              <w:ind w:left="-15" w:leftChars="-8" w:hanging="10" w:hangingChars="5"/>
              <w:jc w:val="center"/>
              <w:rPr>
                <w:rFonts w:ascii="Times New Roman" w:hAnsi="Times New Roman" w:eastAsia="仿宋_GB2312"/>
                <w:sz w:val="21"/>
                <w:szCs w:val="21"/>
              </w:rPr>
            </w:pPr>
            <w:r>
              <w:rPr>
                <w:rFonts w:hint="eastAsia" w:ascii="Times New Roman" w:hAnsi="Times New Roman" w:eastAsia="仿宋_GB2312"/>
                <w:sz w:val="21"/>
                <w:szCs w:val="21"/>
              </w:rPr>
              <w:t>燃烧性能</w:t>
            </w:r>
          </w:p>
        </w:tc>
        <w:tc>
          <w:tcPr>
            <w:tcW w:w="3558" w:type="dxa"/>
            <w:vAlign w:val="center"/>
          </w:tcPr>
          <w:p w14:paraId="5F3232F4">
            <w:pPr>
              <w:pStyle w:val="2"/>
              <w:spacing w:line="360" w:lineRule="exact"/>
              <w:ind w:left="-15" w:leftChars="-8" w:hanging="10" w:hangingChars="5"/>
              <w:jc w:val="center"/>
              <w:rPr>
                <w:rFonts w:ascii="Times New Roman" w:hAnsi="Times New Roman" w:eastAsia="仿宋_GB2312"/>
                <w:sz w:val="21"/>
                <w:szCs w:val="21"/>
              </w:rPr>
            </w:pPr>
            <w:r>
              <w:rPr>
                <w:rFonts w:ascii="Times New Roman" w:hAnsi="Times New Roman" w:eastAsia="仿宋_GB2312"/>
                <w:sz w:val="21"/>
                <w:szCs w:val="21"/>
              </w:rPr>
              <w:t xml:space="preserve">GB </w:t>
            </w:r>
            <w:r>
              <w:rPr>
                <w:rFonts w:hint="eastAsia" w:ascii="Times New Roman" w:hAnsi="Times New Roman" w:eastAsia="仿宋_GB2312"/>
                <w:sz w:val="21"/>
                <w:szCs w:val="21"/>
              </w:rPr>
              <w:t>8624</w:t>
            </w:r>
            <w:r>
              <w:rPr>
                <w:rFonts w:ascii="Times New Roman" w:hAnsi="Times New Roman" w:eastAsia="仿宋_GB2312"/>
                <w:sz w:val="21"/>
                <w:szCs w:val="21"/>
              </w:rPr>
              <w:t>—20</w:t>
            </w:r>
            <w:r>
              <w:rPr>
                <w:rFonts w:hint="eastAsia" w:ascii="Times New Roman" w:hAnsi="Times New Roman" w:eastAsia="仿宋_GB2312"/>
                <w:sz w:val="21"/>
                <w:szCs w:val="21"/>
              </w:rPr>
              <w:t>12</w:t>
            </w:r>
          </w:p>
        </w:tc>
      </w:tr>
    </w:tbl>
    <w:p w14:paraId="607154B6">
      <w:pPr>
        <w:spacing w:line="560" w:lineRule="exact"/>
        <w:jc w:val="center"/>
        <w:rPr>
          <w:szCs w:val="32"/>
        </w:rPr>
      </w:pPr>
    </w:p>
    <w:p w14:paraId="0E1682E1">
      <w:pPr>
        <w:spacing w:line="560" w:lineRule="exact"/>
        <w:jc w:val="center"/>
        <w:rPr>
          <w:szCs w:val="32"/>
        </w:rPr>
      </w:pPr>
      <w:r>
        <w:rPr>
          <w:szCs w:val="32"/>
        </w:rPr>
        <w:t>表</w:t>
      </w:r>
      <w:r>
        <w:rPr>
          <w:rFonts w:hint="eastAsia"/>
          <w:szCs w:val="32"/>
          <w:lang w:val="en-US" w:eastAsia="zh-CN"/>
        </w:rPr>
        <w:t>2</w:t>
      </w:r>
      <w:r>
        <w:rPr>
          <w:szCs w:val="32"/>
        </w:rPr>
        <w:t xml:space="preserve"> 绝热用挤塑聚苯乙烯泡沫塑料</w:t>
      </w:r>
    </w:p>
    <w:tbl>
      <w:tblPr>
        <w:tblStyle w:val="7"/>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150"/>
        <w:gridCol w:w="2905"/>
        <w:gridCol w:w="3558"/>
      </w:tblGrid>
      <w:tr w14:paraId="56BF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288" w:type="dxa"/>
            <w:vAlign w:val="center"/>
          </w:tcPr>
          <w:p w14:paraId="10A7B94C">
            <w:pPr>
              <w:spacing w:line="560" w:lineRule="exact"/>
              <w:jc w:val="center"/>
              <w:rPr>
                <w:b/>
                <w:bCs/>
                <w:sz w:val="21"/>
                <w:szCs w:val="21"/>
              </w:rPr>
            </w:pPr>
            <w:r>
              <w:rPr>
                <w:b/>
                <w:bCs/>
                <w:sz w:val="21"/>
                <w:szCs w:val="21"/>
              </w:rPr>
              <w:t>序号</w:t>
            </w:r>
          </w:p>
        </w:tc>
        <w:tc>
          <w:tcPr>
            <w:tcW w:w="4055" w:type="dxa"/>
            <w:gridSpan w:val="2"/>
            <w:vAlign w:val="center"/>
          </w:tcPr>
          <w:p w14:paraId="0D7C5DFF">
            <w:pPr>
              <w:spacing w:line="560" w:lineRule="exact"/>
              <w:jc w:val="center"/>
              <w:rPr>
                <w:b/>
                <w:bCs/>
                <w:sz w:val="21"/>
                <w:szCs w:val="21"/>
              </w:rPr>
            </w:pPr>
            <w:r>
              <w:rPr>
                <w:b/>
                <w:bCs/>
                <w:sz w:val="21"/>
                <w:szCs w:val="21"/>
              </w:rPr>
              <w:t>检验项目</w:t>
            </w:r>
          </w:p>
        </w:tc>
        <w:tc>
          <w:tcPr>
            <w:tcW w:w="3558" w:type="dxa"/>
            <w:vAlign w:val="center"/>
          </w:tcPr>
          <w:p w14:paraId="772EBAC1">
            <w:pPr>
              <w:spacing w:line="560" w:lineRule="exact"/>
              <w:jc w:val="center"/>
              <w:rPr>
                <w:b/>
                <w:bCs/>
                <w:sz w:val="21"/>
                <w:szCs w:val="21"/>
              </w:rPr>
            </w:pPr>
            <w:r>
              <w:rPr>
                <w:b/>
                <w:bCs/>
                <w:sz w:val="21"/>
                <w:szCs w:val="21"/>
              </w:rPr>
              <w:t>检验方法</w:t>
            </w:r>
          </w:p>
        </w:tc>
      </w:tr>
      <w:tr w14:paraId="6DA7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288" w:type="dxa"/>
            <w:vMerge w:val="restart"/>
            <w:vAlign w:val="center"/>
          </w:tcPr>
          <w:p w14:paraId="45653E35">
            <w:pPr>
              <w:spacing w:line="560" w:lineRule="exact"/>
              <w:jc w:val="center"/>
              <w:rPr>
                <w:rFonts w:hint="eastAsia" w:eastAsia="仿宋_GB2312"/>
                <w:sz w:val="21"/>
                <w:szCs w:val="21"/>
                <w:lang w:eastAsia="zh-CN"/>
              </w:rPr>
            </w:pPr>
            <w:r>
              <w:rPr>
                <w:rFonts w:hint="eastAsia"/>
                <w:sz w:val="21"/>
                <w:szCs w:val="21"/>
                <w:lang w:val="en-US" w:eastAsia="zh-CN"/>
              </w:rPr>
              <w:t>1</w:t>
            </w:r>
          </w:p>
        </w:tc>
        <w:tc>
          <w:tcPr>
            <w:tcW w:w="1150" w:type="dxa"/>
            <w:vMerge w:val="restart"/>
            <w:vAlign w:val="center"/>
          </w:tcPr>
          <w:p w14:paraId="58103FEF">
            <w:pPr>
              <w:pStyle w:val="2"/>
              <w:spacing w:line="360" w:lineRule="exact"/>
              <w:ind w:left="-15" w:leftChars="-8" w:hanging="10" w:hangingChars="5"/>
              <w:jc w:val="center"/>
              <w:rPr>
                <w:rFonts w:ascii="Times New Roman" w:hAnsi="Times New Roman" w:eastAsia="仿宋_GB2312"/>
                <w:sz w:val="21"/>
                <w:szCs w:val="21"/>
              </w:rPr>
            </w:pPr>
            <w:r>
              <w:rPr>
                <w:rFonts w:hint="eastAsia" w:ascii="Times New Roman" w:hAnsi="Times New Roman" w:eastAsia="仿宋_GB2312"/>
                <w:sz w:val="21"/>
                <w:szCs w:val="21"/>
              </w:rPr>
              <w:t>绝热性能</w:t>
            </w:r>
          </w:p>
        </w:tc>
        <w:tc>
          <w:tcPr>
            <w:tcW w:w="2905" w:type="dxa"/>
            <w:vAlign w:val="center"/>
          </w:tcPr>
          <w:p w14:paraId="02719503">
            <w:pPr>
              <w:pStyle w:val="2"/>
              <w:spacing w:line="360" w:lineRule="exact"/>
              <w:ind w:left="-15" w:leftChars="-8" w:hanging="10" w:hangingChars="5"/>
              <w:jc w:val="center"/>
              <w:rPr>
                <w:rFonts w:ascii="Times New Roman" w:hAnsi="Times New Roman" w:eastAsia="仿宋_GB2312"/>
                <w:sz w:val="21"/>
                <w:szCs w:val="21"/>
              </w:rPr>
            </w:pPr>
            <w:r>
              <w:rPr>
                <w:rFonts w:ascii="Times New Roman" w:hAnsi="Times New Roman" w:eastAsia="仿宋_GB2312"/>
                <w:sz w:val="21"/>
                <w:szCs w:val="21"/>
              </w:rPr>
              <w:t>导热系数</w:t>
            </w:r>
          </w:p>
          <w:p w14:paraId="5A6E37C1">
            <w:pPr>
              <w:pStyle w:val="2"/>
              <w:spacing w:line="360" w:lineRule="exact"/>
              <w:ind w:left="-15" w:leftChars="-8" w:hanging="10" w:hangingChars="5"/>
              <w:jc w:val="center"/>
              <w:rPr>
                <w:rFonts w:ascii="Times New Roman" w:hAnsi="Times New Roman" w:eastAsia="仿宋_GB2312"/>
                <w:sz w:val="21"/>
                <w:szCs w:val="21"/>
              </w:rPr>
            </w:pPr>
            <w:r>
              <w:rPr>
                <w:rFonts w:ascii="Times New Roman" w:hAnsi="Times New Roman" w:eastAsia="仿宋_GB2312"/>
                <w:sz w:val="21"/>
                <w:szCs w:val="21"/>
              </w:rPr>
              <w:t>平均温度</w:t>
            </w:r>
            <w:r>
              <w:rPr>
                <w:rFonts w:hint="eastAsia" w:ascii="Times New Roman" w:hAnsi="Times New Roman" w:eastAsia="仿宋_GB2312"/>
                <w:sz w:val="21"/>
                <w:szCs w:val="21"/>
              </w:rPr>
              <w:t>(25</w:t>
            </w:r>
            <w:r>
              <w:rPr>
                <w:rFonts w:hint="eastAsia"/>
                <w:szCs w:val="21"/>
              </w:rPr>
              <w:t>±</w:t>
            </w:r>
            <w:r>
              <w:rPr>
                <w:rFonts w:hint="eastAsia" w:ascii="Times New Roman" w:hAnsi="Times New Roman" w:eastAsia="仿宋_GB2312"/>
                <w:sz w:val="21"/>
                <w:szCs w:val="21"/>
              </w:rPr>
              <w:t>2)℃</w:t>
            </w:r>
          </w:p>
        </w:tc>
        <w:tc>
          <w:tcPr>
            <w:tcW w:w="3558" w:type="dxa"/>
            <w:vMerge w:val="restart"/>
            <w:vAlign w:val="center"/>
          </w:tcPr>
          <w:p w14:paraId="515DD2A3">
            <w:pPr>
              <w:pStyle w:val="2"/>
              <w:spacing w:line="360" w:lineRule="exact"/>
              <w:ind w:left="-15" w:leftChars="-8" w:hanging="10" w:hangingChars="5"/>
              <w:jc w:val="center"/>
              <w:rPr>
                <w:rFonts w:ascii="Times New Roman" w:hAnsi="Times New Roman" w:eastAsia="仿宋_GB2312"/>
                <w:sz w:val="21"/>
                <w:szCs w:val="21"/>
              </w:rPr>
            </w:pPr>
            <w:r>
              <w:rPr>
                <w:rFonts w:ascii="Times New Roman" w:hAnsi="Times New Roman" w:eastAsia="仿宋_GB2312"/>
                <w:sz w:val="21"/>
                <w:szCs w:val="21"/>
              </w:rPr>
              <w:t>GB/T 10294—2008</w:t>
            </w:r>
          </w:p>
          <w:p w14:paraId="17669ACC">
            <w:pPr>
              <w:pStyle w:val="2"/>
              <w:spacing w:line="360" w:lineRule="exact"/>
              <w:ind w:left="-15" w:leftChars="-8" w:hanging="10" w:hangingChars="5"/>
              <w:jc w:val="center"/>
              <w:rPr>
                <w:rFonts w:ascii="Times New Roman" w:hAnsi="Times New Roman" w:eastAsia="仿宋_GB2312"/>
                <w:sz w:val="21"/>
                <w:szCs w:val="21"/>
              </w:rPr>
            </w:pPr>
            <w:r>
              <w:rPr>
                <w:rFonts w:ascii="Times New Roman" w:hAnsi="Times New Roman" w:eastAsia="仿宋_GB2312"/>
                <w:sz w:val="21"/>
                <w:szCs w:val="21"/>
              </w:rPr>
              <w:t>GB/T 10295—2008</w:t>
            </w:r>
          </w:p>
          <w:p w14:paraId="564D46F2">
            <w:pPr>
              <w:pStyle w:val="2"/>
              <w:spacing w:line="360" w:lineRule="exact"/>
              <w:ind w:left="-15" w:leftChars="-8" w:hanging="10" w:hangingChars="5"/>
              <w:jc w:val="center"/>
              <w:rPr>
                <w:rFonts w:ascii="Times New Roman" w:hAnsi="Times New Roman" w:eastAsia="仿宋_GB2312"/>
                <w:sz w:val="21"/>
                <w:szCs w:val="21"/>
              </w:rPr>
            </w:pPr>
            <w:r>
              <w:rPr>
                <w:rFonts w:ascii="Times New Roman" w:hAnsi="Times New Roman" w:eastAsia="仿宋_GB2312"/>
                <w:sz w:val="21"/>
                <w:szCs w:val="21"/>
              </w:rPr>
              <w:t>GB/T 10801.2—20</w:t>
            </w:r>
            <w:r>
              <w:rPr>
                <w:rFonts w:hint="eastAsia" w:ascii="Times New Roman" w:hAnsi="Times New Roman" w:eastAsia="仿宋_GB2312"/>
                <w:sz w:val="21"/>
                <w:szCs w:val="21"/>
              </w:rPr>
              <w:t>25</w:t>
            </w:r>
          </w:p>
        </w:tc>
      </w:tr>
      <w:tr w14:paraId="5B0B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1288" w:type="dxa"/>
            <w:vMerge w:val="continue"/>
            <w:vAlign w:val="center"/>
          </w:tcPr>
          <w:p w14:paraId="4FCBBB3C">
            <w:pPr>
              <w:spacing w:line="560" w:lineRule="exact"/>
              <w:jc w:val="center"/>
              <w:rPr>
                <w:sz w:val="21"/>
                <w:szCs w:val="21"/>
              </w:rPr>
            </w:pPr>
          </w:p>
        </w:tc>
        <w:tc>
          <w:tcPr>
            <w:tcW w:w="1150" w:type="dxa"/>
            <w:vMerge w:val="continue"/>
            <w:vAlign w:val="center"/>
          </w:tcPr>
          <w:p w14:paraId="55DABB19">
            <w:pPr>
              <w:pStyle w:val="2"/>
              <w:spacing w:line="360" w:lineRule="exact"/>
              <w:ind w:left="-15" w:leftChars="-8" w:hanging="10" w:hangingChars="5"/>
              <w:jc w:val="center"/>
              <w:rPr>
                <w:rFonts w:ascii="Times New Roman" w:hAnsi="Times New Roman" w:eastAsia="仿宋_GB2312"/>
                <w:sz w:val="21"/>
                <w:szCs w:val="21"/>
              </w:rPr>
            </w:pPr>
          </w:p>
        </w:tc>
        <w:tc>
          <w:tcPr>
            <w:tcW w:w="2905" w:type="dxa"/>
            <w:vAlign w:val="center"/>
          </w:tcPr>
          <w:p w14:paraId="434880CE">
            <w:pPr>
              <w:pStyle w:val="2"/>
              <w:spacing w:line="360" w:lineRule="exact"/>
              <w:ind w:left="-15" w:leftChars="-8" w:hanging="10" w:hangingChars="5"/>
              <w:jc w:val="center"/>
              <w:rPr>
                <w:rFonts w:ascii="Times New Roman" w:hAnsi="Times New Roman" w:eastAsia="仿宋_GB2312"/>
                <w:sz w:val="21"/>
                <w:szCs w:val="21"/>
              </w:rPr>
            </w:pPr>
            <w:r>
              <w:rPr>
                <w:rFonts w:hint="eastAsia" w:ascii="Times New Roman" w:hAnsi="Times New Roman" w:eastAsia="仿宋_GB2312"/>
                <w:sz w:val="21"/>
                <w:szCs w:val="21"/>
              </w:rPr>
              <w:t>热阻</w:t>
            </w:r>
          </w:p>
          <w:p w14:paraId="4F8226B1">
            <w:pPr>
              <w:pStyle w:val="2"/>
              <w:spacing w:line="360" w:lineRule="exact"/>
              <w:ind w:left="-15" w:leftChars="-8" w:hanging="10" w:hangingChars="5"/>
              <w:jc w:val="center"/>
              <w:rPr>
                <w:rFonts w:ascii="Times New Roman" w:hAnsi="Times New Roman" w:eastAsia="仿宋_GB2312"/>
                <w:sz w:val="21"/>
                <w:szCs w:val="21"/>
              </w:rPr>
            </w:pPr>
            <w:r>
              <w:rPr>
                <w:rFonts w:hint="eastAsia" w:ascii="Times New Roman" w:hAnsi="Times New Roman" w:eastAsia="仿宋_GB2312"/>
                <w:sz w:val="21"/>
                <w:szCs w:val="21"/>
              </w:rPr>
              <w:t>厚度25mm时</w:t>
            </w:r>
          </w:p>
          <w:p w14:paraId="4F13358F">
            <w:pPr>
              <w:pStyle w:val="2"/>
              <w:spacing w:line="360" w:lineRule="exact"/>
              <w:ind w:left="-15" w:leftChars="-8" w:hanging="10" w:hangingChars="5"/>
              <w:jc w:val="center"/>
              <w:rPr>
                <w:rFonts w:ascii="Times New Roman" w:hAnsi="Times New Roman" w:eastAsia="仿宋_GB2312"/>
                <w:sz w:val="21"/>
                <w:szCs w:val="21"/>
              </w:rPr>
            </w:pPr>
            <w:r>
              <w:rPr>
                <w:rFonts w:ascii="Times New Roman" w:hAnsi="Times New Roman" w:eastAsia="仿宋_GB2312"/>
                <w:sz w:val="21"/>
                <w:szCs w:val="21"/>
              </w:rPr>
              <w:t>平均温度</w:t>
            </w:r>
            <w:r>
              <w:rPr>
                <w:rFonts w:hint="eastAsia" w:ascii="Times New Roman" w:hAnsi="Times New Roman" w:eastAsia="仿宋_GB2312"/>
                <w:sz w:val="21"/>
                <w:szCs w:val="21"/>
              </w:rPr>
              <w:t>(25</w:t>
            </w:r>
            <w:r>
              <w:rPr>
                <w:rFonts w:hint="eastAsia"/>
                <w:szCs w:val="21"/>
              </w:rPr>
              <w:t>±</w:t>
            </w:r>
            <w:r>
              <w:rPr>
                <w:rFonts w:hint="eastAsia" w:ascii="Times New Roman" w:hAnsi="Times New Roman" w:eastAsia="仿宋_GB2312"/>
                <w:sz w:val="21"/>
                <w:szCs w:val="21"/>
              </w:rPr>
              <w:t>2)℃</w:t>
            </w:r>
          </w:p>
        </w:tc>
        <w:tc>
          <w:tcPr>
            <w:tcW w:w="3558" w:type="dxa"/>
            <w:vMerge w:val="continue"/>
            <w:vAlign w:val="center"/>
          </w:tcPr>
          <w:p w14:paraId="2EFA7FF3">
            <w:pPr>
              <w:pStyle w:val="2"/>
              <w:spacing w:line="360" w:lineRule="exact"/>
              <w:ind w:left="-15" w:leftChars="-8" w:hanging="10" w:hangingChars="5"/>
              <w:jc w:val="center"/>
              <w:rPr>
                <w:rFonts w:ascii="Times New Roman" w:hAnsi="Times New Roman" w:eastAsia="仿宋_GB2312"/>
                <w:sz w:val="21"/>
                <w:szCs w:val="21"/>
              </w:rPr>
            </w:pPr>
          </w:p>
        </w:tc>
      </w:tr>
      <w:tr w14:paraId="3BEA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88" w:type="dxa"/>
            <w:vAlign w:val="center"/>
          </w:tcPr>
          <w:p w14:paraId="5BC84660">
            <w:pPr>
              <w:spacing w:line="560" w:lineRule="exact"/>
              <w:jc w:val="center"/>
              <w:rPr>
                <w:rFonts w:hint="eastAsia" w:eastAsia="仿宋_GB2312"/>
                <w:sz w:val="21"/>
                <w:szCs w:val="21"/>
                <w:lang w:eastAsia="zh-CN"/>
              </w:rPr>
            </w:pPr>
            <w:r>
              <w:rPr>
                <w:rFonts w:hint="eastAsia"/>
                <w:sz w:val="21"/>
                <w:szCs w:val="21"/>
                <w:lang w:val="en-US" w:eastAsia="zh-CN"/>
              </w:rPr>
              <w:t>2</w:t>
            </w:r>
          </w:p>
        </w:tc>
        <w:tc>
          <w:tcPr>
            <w:tcW w:w="4055" w:type="dxa"/>
            <w:gridSpan w:val="2"/>
            <w:vAlign w:val="center"/>
          </w:tcPr>
          <w:p w14:paraId="2D40BF9F">
            <w:pPr>
              <w:pStyle w:val="2"/>
              <w:spacing w:line="360" w:lineRule="exact"/>
              <w:ind w:left="-15" w:leftChars="-8" w:hanging="10" w:hangingChars="5"/>
              <w:jc w:val="center"/>
              <w:rPr>
                <w:rFonts w:ascii="Times New Roman" w:hAnsi="Times New Roman" w:eastAsia="仿宋_GB2312"/>
                <w:sz w:val="21"/>
                <w:szCs w:val="21"/>
              </w:rPr>
            </w:pPr>
            <w:r>
              <w:rPr>
                <w:rFonts w:hint="eastAsia" w:ascii="Times New Roman" w:hAnsi="Times New Roman" w:eastAsia="仿宋_GB2312"/>
                <w:sz w:val="21"/>
                <w:szCs w:val="21"/>
              </w:rPr>
              <w:t>燃烧性能</w:t>
            </w:r>
          </w:p>
        </w:tc>
        <w:tc>
          <w:tcPr>
            <w:tcW w:w="3558" w:type="dxa"/>
            <w:vAlign w:val="center"/>
          </w:tcPr>
          <w:p w14:paraId="2803FC12">
            <w:pPr>
              <w:pStyle w:val="2"/>
              <w:spacing w:line="360" w:lineRule="exact"/>
              <w:ind w:left="-15" w:leftChars="-8" w:hanging="10" w:hangingChars="5"/>
              <w:jc w:val="center"/>
              <w:rPr>
                <w:rFonts w:ascii="Times New Roman" w:hAnsi="Times New Roman" w:eastAsia="仿宋_GB2312"/>
                <w:sz w:val="21"/>
                <w:szCs w:val="21"/>
              </w:rPr>
            </w:pPr>
            <w:r>
              <w:rPr>
                <w:rFonts w:ascii="Times New Roman" w:hAnsi="Times New Roman" w:eastAsia="仿宋_GB2312"/>
                <w:sz w:val="21"/>
                <w:szCs w:val="21"/>
              </w:rPr>
              <w:t xml:space="preserve">GB </w:t>
            </w:r>
            <w:r>
              <w:rPr>
                <w:rFonts w:hint="eastAsia" w:ascii="Times New Roman" w:hAnsi="Times New Roman" w:eastAsia="仿宋_GB2312"/>
                <w:sz w:val="21"/>
                <w:szCs w:val="21"/>
              </w:rPr>
              <w:t>8624</w:t>
            </w:r>
            <w:r>
              <w:rPr>
                <w:rFonts w:ascii="Times New Roman" w:hAnsi="Times New Roman" w:eastAsia="仿宋_GB2312"/>
                <w:sz w:val="21"/>
                <w:szCs w:val="21"/>
              </w:rPr>
              <w:t>—20</w:t>
            </w:r>
            <w:r>
              <w:rPr>
                <w:rFonts w:hint="eastAsia" w:ascii="Times New Roman" w:hAnsi="Times New Roman" w:eastAsia="仿宋_GB2312"/>
                <w:sz w:val="21"/>
                <w:szCs w:val="21"/>
              </w:rPr>
              <w:t>12</w:t>
            </w:r>
          </w:p>
        </w:tc>
      </w:tr>
    </w:tbl>
    <w:p w14:paraId="36326049">
      <w:pPr>
        <w:spacing w:line="560" w:lineRule="exact"/>
        <w:ind w:firstLine="640" w:firstLineChars="200"/>
        <w:rPr>
          <w:szCs w:val="32"/>
        </w:rPr>
      </w:pPr>
      <w:r>
        <w:rPr>
          <w:szCs w:val="32"/>
        </w:rPr>
        <w:t>执行企业标准、团体标准、地方标准的产品，检验项目参照上述内容执行。</w:t>
      </w:r>
    </w:p>
    <w:p w14:paraId="2A6AC3B2">
      <w:pPr>
        <w:spacing w:line="560" w:lineRule="exact"/>
        <w:ind w:firstLine="640" w:firstLineChars="200"/>
        <w:rPr>
          <w:szCs w:val="32"/>
        </w:rPr>
      </w:pPr>
      <w:r>
        <w:rPr>
          <w:szCs w:val="32"/>
        </w:rPr>
        <w:t>凡是注日期的文件，其随后所有的修改单（不包括勘误的内容）或修订版不适用于本细则。凡是不注日期的文件，其最新版本适用于本细则。</w:t>
      </w:r>
    </w:p>
    <w:p w14:paraId="7043FE1D">
      <w:pPr>
        <w:spacing w:line="560" w:lineRule="exact"/>
        <w:ind w:firstLine="640" w:firstLineChars="200"/>
        <w:rPr>
          <w:rFonts w:eastAsia="黑体" w:cs="黑体"/>
          <w:szCs w:val="40"/>
        </w:rPr>
      </w:pPr>
      <w:r>
        <w:rPr>
          <w:rFonts w:hint="eastAsia" w:eastAsia="黑体" w:cs="黑体"/>
          <w:szCs w:val="40"/>
        </w:rPr>
        <w:t>3 判定规则</w:t>
      </w:r>
    </w:p>
    <w:p w14:paraId="2EB4E7FD">
      <w:pPr>
        <w:spacing w:line="560" w:lineRule="exact"/>
        <w:ind w:firstLine="640" w:firstLineChars="200"/>
        <w:rPr>
          <w:szCs w:val="32"/>
        </w:rPr>
      </w:pPr>
      <w:r>
        <w:rPr>
          <w:rFonts w:hint="eastAsia" w:eastAsia="楷体_GB2312"/>
          <w:szCs w:val="32"/>
        </w:rPr>
        <w:t>3.1 依据标准</w:t>
      </w:r>
    </w:p>
    <w:p w14:paraId="3003B92A">
      <w:pPr>
        <w:spacing w:line="560" w:lineRule="exact"/>
        <w:ind w:firstLine="640" w:firstLineChars="200"/>
        <w:rPr>
          <w:szCs w:val="32"/>
        </w:rPr>
      </w:pPr>
      <w:r>
        <w:rPr>
          <w:szCs w:val="32"/>
        </w:rPr>
        <w:t>GB/T 10801.2—2018 绝热用挤塑聚苯乙烯泡沫塑料</w:t>
      </w:r>
      <w:r>
        <w:rPr>
          <w:rFonts w:hint="eastAsia"/>
          <w:szCs w:val="32"/>
        </w:rPr>
        <w:t>（适用于生产日期在2026年7月1日之前产品）</w:t>
      </w:r>
    </w:p>
    <w:p w14:paraId="1D9422C6">
      <w:pPr>
        <w:spacing w:line="560" w:lineRule="exact"/>
        <w:ind w:firstLine="640" w:firstLineChars="200"/>
        <w:rPr>
          <w:szCs w:val="32"/>
        </w:rPr>
      </w:pPr>
      <w:r>
        <w:rPr>
          <w:szCs w:val="32"/>
        </w:rPr>
        <w:t>GB/T 10801.2—20</w:t>
      </w:r>
      <w:r>
        <w:rPr>
          <w:rFonts w:hint="eastAsia"/>
          <w:szCs w:val="32"/>
        </w:rPr>
        <w:t>25</w:t>
      </w:r>
      <w:r>
        <w:rPr>
          <w:szCs w:val="32"/>
        </w:rPr>
        <w:t xml:space="preserve"> 绝热用挤塑聚苯乙烯泡沫塑料</w:t>
      </w:r>
      <w:r>
        <w:rPr>
          <w:rFonts w:hint="eastAsia"/>
          <w:szCs w:val="32"/>
        </w:rPr>
        <w:t>（适用于生产日期在（含）2026年7月1日之后产品）</w:t>
      </w:r>
    </w:p>
    <w:p w14:paraId="1A2A134F">
      <w:pPr>
        <w:spacing w:line="560" w:lineRule="exact"/>
        <w:ind w:firstLine="640" w:firstLineChars="200"/>
        <w:rPr>
          <w:szCs w:val="32"/>
        </w:rPr>
      </w:pPr>
      <w:r>
        <w:rPr>
          <w:rFonts w:hint="eastAsia" w:eastAsia="楷体_GB2312"/>
          <w:szCs w:val="32"/>
        </w:rPr>
        <w:t>3.2 判定原则</w:t>
      </w:r>
    </w:p>
    <w:p w14:paraId="384F2617">
      <w:pPr>
        <w:spacing w:line="560" w:lineRule="exact"/>
        <w:ind w:firstLine="640" w:firstLineChars="200"/>
        <w:rPr>
          <w:szCs w:val="32"/>
        </w:rPr>
      </w:pPr>
      <w:r>
        <w:rPr>
          <w:szCs w:val="32"/>
        </w:rPr>
        <w:t>经检验，检验项目全部合格，判定为被抽查产品所检项目未发现不合格；检验项目中任一项或一项以上不合格，判定为被抽查产品不合格。</w:t>
      </w:r>
    </w:p>
    <w:p w14:paraId="0997646E">
      <w:pPr>
        <w:spacing w:line="560" w:lineRule="exact"/>
        <w:ind w:firstLine="640" w:firstLineChars="200"/>
        <w:rPr>
          <w:szCs w:val="32"/>
        </w:rPr>
      </w:pPr>
      <w:r>
        <w:rPr>
          <w:szCs w:val="32"/>
        </w:rPr>
        <w:t>若被检产品明示的质量要求高于本细则中检验项目依据的标准要求时，应按被检产品明示的质量要求判定。</w:t>
      </w:r>
    </w:p>
    <w:p w14:paraId="4675AB2E">
      <w:pPr>
        <w:spacing w:line="560" w:lineRule="exact"/>
        <w:ind w:firstLine="636" w:firstLineChars="199"/>
        <w:rPr>
          <w:szCs w:val="32"/>
        </w:rPr>
      </w:pPr>
      <w:r>
        <w:rPr>
          <w:szCs w:val="32"/>
        </w:rPr>
        <w:t>若被检产品明示的质量要求低于本细则中检验项目依据的强制性标准要求时，应按照强制性标准要求判定。</w:t>
      </w:r>
    </w:p>
    <w:p w14:paraId="72FA2EFF">
      <w:pPr>
        <w:spacing w:line="560" w:lineRule="exact"/>
        <w:ind w:firstLine="636" w:firstLineChars="199"/>
        <w:rPr>
          <w:szCs w:val="32"/>
        </w:rPr>
      </w:pPr>
      <w:r>
        <w:rPr>
          <w:szCs w:val="32"/>
        </w:rPr>
        <w:t>若被检产品明示的质量要求低于或包含本细则中检验项目依据的推荐性标准要求时，应以被检产品明示的质量要求判定。</w:t>
      </w:r>
    </w:p>
    <w:p w14:paraId="1007285E">
      <w:pPr>
        <w:spacing w:line="560" w:lineRule="exact"/>
        <w:ind w:firstLine="636" w:firstLineChars="199"/>
        <w:rPr>
          <w:szCs w:val="32"/>
        </w:rPr>
      </w:pPr>
      <w:r>
        <w:rPr>
          <w:szCs w:val="32"/>
        </w:rPr>
        <w:t>若被检产品明示的质量要求缺少本细则中检验项目依据的强制性标准要求时，应按照强制性标准要求判定。</w:t>
      </w:r>
    </w:p>
    <w:p w14:paraId="11C518A9">
      <w:pPr>
        <w:spacing w:line="560" w:lineRule="exact"/>
        <w:ind w:firstLine="636" w:firstLineChars="199"/>
        <w:rPr>
          <w:szCs w:val="32"/>
        </w:rPr>
      </w:pPr>
      <w:r>
        <w:rPr>
          <w:szCs w:val="32"/>
        </w:rPr>
        <w:t>若被检产品明示的质量要求缺少本细则中检验项目依据的推荐性标准要求时，该项目不参与判定。</w:t>
      </w:r>
    </w:p>
    <w:p w14:paraId="01EA4907">
      <w:pPr>
        <w:spacing w:line="560" w:lineRule="exact"/>
        <w:rPr>
          <w:rFonts w:cs="仿宋_GB2312"/>
          <w:szCs w:val="40"/>
        </w:rPr>
      </w:pPr>
    </w:p>
    <w:p w14:paraId="49AEDE7C">
      <w:pPr>
        <w:spacing w:line="560" w:lineRule="exact"/>
        <w:rPr>
          <w:rFonts w:cs="仿宋_GB2312"/>
          <w:szCs w:val="40"/>
        </w:rPr>
      </w:pPr>
    </w:p>
    <w:p w14:paraId="7A6451AD">
      <w:pPr>
        <w:spacing w:line="560" w:lineRule="exact"/>
        <w:rPr>
          <w:rFonts w:cs="仿宋_GB2312"/>
          <w:szCs w:val="40"/>
        </w:rPr>
      </w:pPr>
    </w:p>
    <w:sectPr>
      <w:pgSz w:w="11906" w:h="16838"/>
      <w:pgMar w:top="2098" w:right="1474" w:bottom="1701" w:left="1587"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11453"/>
    <w:rsid w:val="000F51C8"/>
    <w:rsid w:val="001922FA"/>
    <w:rsid w:val="00195E92"/>
    <w:rsid w:val="003A6085"/>
    <w:rsid w:val="003A733E"/>
    <w:rsid w:val="0042127A"/>
    <w:rsid w:val="004D60AE"/>
    <w:rsid w:val="004F2B09"/>
    <w:rsid w:val="00505348"/>
    <w:rsid w:val="00507CDF"/>
    <w:rsid w:val="00583265"/>
    <w:rsid w:val="00597691"/>
    <w:rsid w:val="0061140B"/>
    <w:rsid w:val="006948E6"/>
    <w:rsid w:val="00710868"/>
    <w:rsid w:val="007121BC"/>
    <w:rsid w:val="007C215B"/>
    <w:rsid w:val="007C2652"/>
    <w:rsid w:val="007D3DA5"/>
    <w:rsid w:val="007D549B"/>
    <w:rsid w:val="007F5D41"/>
    <w:rsid w:val="008B477E"/>
    <w:rsid w:val="008B5220"/>
    <w:rsid w:val="00946614"/>
    <w:rsid w:val="009B53F1"/>
    <w:rsid w:val="00BE5255"/>
    <w:rsid w:val="00C07BA2"/>
    <w:rsid w:val="00C2507E"/>
    <w:rsid w:val="00D9686F"/>
    <w:rsid w:val="00DE1695"/>
    <w:rsid w:val="00E81F11"/>
    <w:rsid w:val="00EA4F8F"/>
    <w:rsid w:val="00EC2939"/>
    <w:rsid w:val="00F7581C"/>
    <w:rsid w:val="3ACE4BC8"/>
    <w:rsid w:val="3EFB39B5"/>
    <w:rsid w:val="77A11453"/>
    <w:rsid w:val="7AEFA239"/>
    <w:rsid w:val="7BFEA595"/>
    <w:rsid w:val="9BEE1891"/>
    <w:rsid w:val="D7EF7DAD"/>
    <w:rsid w:val="FDCF89CF"/>
    <w:rsid w:val="FDF79BCF"/>
    <w:rsid w:val="FDFC299C"/>
    <w:rsid w:val="FEFA091F"/>
    <w:rsid w:val="FFED0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link w:val="12"/>
    <w:qFormat/>
    <w:uiPriority w:val="0"/>
    <w:pPr>
      <w:widowControl w:val="0"/>
      <w:spacing w:line="360" w:lineRule="auto"/>
      <w:ind w:firstLine="480" w:firstLineChars="200"/>
      <w:jc w:val="both"/>
    </w:pPr>
    <w:rPr>
      <w:rFonts w:ascii="宋体" w:hAnsi="宋体" w:eastAsia="宋体" w:cs="Times New Roman"/>
      <w:kern w:val="2"/>
      <w:sz w:val="24"/>
      <w:lang w:val="en-US" w:eastAsia="zh-CN" w:bidi="ar-SA"/>
    </w:rPr>
  </w:style>
  <w:style w:type="paragraph" w:styleId="3">
    <w:name w:val="Plain Text"/>
    <w:qFormat/>
    <w:uiPriority w:val="99"/>
    <w:pPr>
      <w:widowControl w:val="0"/>
      <w:jc w:val="both"/>
    </w:pPr>
    <w:rPr>
      <w:rFonts w:ascii="宋体" w:hAnsi="Courier New" w:eastAsia="宋体" w:cs="Times New Roman"/>
      <w:kern w:val="2"/>
      <w:sz w:val="32"/>
      <w:szCs w:val="21"/>
      <w:lang w:val="en-US" w:eastAsia="zh-CN" w:bidi="ar-SA"/>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8">
    <w:name w:val="Table Gri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0">
    <w:name w:val="Table Grid_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11">
    <w:name w:val="Revision"/>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12">
    <w:name w:val="正文文本缩进 Char"/>
    <w:basedOn w:val="9"/>
    <w:link w:val="2"/>
    <w:qFormat/>
    <w:uiPriority w:val="0"/>
    <w:rPr>
      <w:rFonts w:ascii="宋体" w:hAnsi="宋体" w:eastAsia="宋体" w:cs="Times New Roman"/>
      <w:kern w:val="2"/>
      <w:sz w:val="24"/>
    </w:rPr>
  </w:style>
  <w:style w:type="character" w:customStyle="1" w:styleId="13">
    <w:name w:val="页眉 Char"/>
    <w:basedOn w:val="9"/>
    <w:link w:val="6"/>
    <w:qFormat/>
    <w:uiPriority w:val="0"/>
    <w:rPr>
      <w:rFonts w:ascii="Times New Roman" w:hAnsi="Times New Roman" w:eastAsia="仿宋_GB2312" w:cs="Times New Roman"/>
      <w:kern w:val="2"/>
      <w:sz w:val="18"/>
      <w:szCs w:val="18"/>
    </w:rPr>
  </w:style>
  <w:style w:type="character" w:customStyle="1" w:styleId="14">
    <w:name w:val="批注框文本 Char"/>
    <w:basedOn w:val="9"/>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3</Pages>
  <Words>823</Words>
  <Characters>4697</Characters>
  <Lines>39</Lines>
  <Paragraphs>11</Paragraphs>
  <TotalTime>0</TotalTime>
  <ScaleCrop>false</ScaleCrop>
  <LinksUpToDate>false</LinksUpToDate>
  <CharactersWithSpaces>5509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2026-04-08T15:34:00Z</dcterms:created>
  <dc:creator>胡翌婧</dc:creator>
  <cp:lastModifiedBy>柯彦</cp:lastModifiedBy>
  <dcterms:modified xsi:type="dcterms:W3CDTF">2026-06-10T10:52:31Z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83009C0871E54B048D1777EB70FE1BA7_11</vt:lpwstr>
  </property>
  <property fmtid="{D5CDD505-2E9C-101B-9397-08002B2CF9AE}" pid="3" name="KSOProductBuildVer">
    <vt:lpwstr>2052-12.1.2.25882</vt:lpwstr>
  </property>
  <property fmtid="{D5CDD505-2E9C-101B-9397-08002B2CF9AE}" pid="4" name="KSOTemplateDocerSaveRecord">
    <vt:lpwstr>eyJoZGlkIjoiZWZjYmQ1OTY5YzQwZjY2NDUyNDk2ODNkMTA4ZWMwYmQiLCJ1c2VySWQiOiI0Mjk3ODY0MzAifQ==</vt:lpwstr>
  </property>
</Properties>
</file>