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line="660" w:lineRule="exact"/>
        <w:ind w:left="440" w:hanging="442" w:hangingChars="100"/>
        <w:jc w:val="center"/>
        <w:rPr>
          <w:rFonts w:ascii="方正小标宋简体" w:hAnsi="方正小标宋简体" w:eastAsia="方正小标宋简体" w:cs="方正小标宋简体"/>
          <w:b/>
          <w:bCs/>
          <w:lang w:eastAsia="zh-CN"/>
        </w:rPr>
      </w:pPr>
      <w:bookmarkStart w:id="1" w:name="_GoBack"/>
      <w:bookmarkEnd w:id="1"/>
    </w:p>
    <w:p>
      <w:pPr>
        <w:pStyle w:val="2"/>
        <w:spacing w:before="0" w:line="660" w:lineRule="exact"/>
        <w:ind w:left="440" w:hanging="442" w:hangingChars="100"/>
        <w:jc w:val="center"/>
        <w:rPr>
          <w:rFonts w:ascii="方正小标宋简体" w:hAnsi="方正小标宋简体" w:eastAsia="方正小标宋简体" w:cs="方正小标宋简体"/>
          <w:b/>
          <w:bCs/>
          <w:lang w:eastAsia="zh-CN"/>
        </w:rPr>
      </w:pPr>
      <w:r>
        <w:rPr>
          <w:rFonts w:hint="eastAsia" w:ascii="方正小标宋简体" w:hAnsi="方正小标宋简体" w:eastAsia="方正小标宋简体" w:cs="方正小标宋简体"/>
          <w:b/>
          <w:bCs/>
          <w:lang w:eastAsia="zh-CN"/>
        </w:rPr>
        <w:t>关于印发《湛江市市场监督管理局</w:t>
      </w:r>
    </w:p>
    <w:p>
      <w:pPr>
        <w:pStyle w:val="2"/>
        <w:spacing w:before="0" w:line="660" w:lineRule="exact"/>
        <w:jc w:val="center"/>
        <w:rPr>
          <w:rFonts w:ascii="方正小标宋简体" w:hAnsi="方正小标宋简体" w:eastAsia="方正小标宋简体" w:cs="方正小标宋简体"/>
          <w:b/>
          <w:bCs/>
          <w:lang w:eastAsia="zh-CN"/>
        </w:rPr>
      </w:pPr>
      <w:r>
        <w:rPr>
          <w:rFonts w:hint="eastAsia" w:ascii="方正小标宋简体" w:hAnsi="方正小标宋简体" w:eastAsia="方正小标宋简体" w:cs="方正小标宋简体"/>
          <w:b/>
          <w:bCs/>
          <w:lang w:eastAsia="zh-CN"/>
        </w:rPr>
        <w:t>开展“证照分离”改革全覆盖</w:t>
      </w:r>
    </w:p>
    <w:p>
      <w:pPr>
        <w:pStyle w:val="2"/>
        <w:spacing w:before="0" w:line="660" w:lineRule="exact"/>
        <w:ind w:left="440" w:hanging="442" w:hangingChars="100"/>
        <w:jc w:val="center"/>
        <w:rPr>
          <w:rFonts w:cs="Times New Roman"/>
          <w:sz w:val="46"/>
          <w:szCs w:val="46"/>
          <w:lang w:eastAsia="zh-CN"/>
        </w:rPr>
      </w:pPr>
      <w:r>
        <w:rPr>
          <w:rFonts w:hint="eastAsia" w:ascii="方正小标宋简体" w:hAnsi="方正小标宋简体" w:eastAsia="方正小标宋简体" w:cs="方正小标宋简体"/>
          <w:b/>
          <w:bCs/>
          <w:lang w:eastAsia="zh-CN"/>
        </w:rPr>
        <w:t>试点实施方案》的通知</w:t>
      </w:r>
    </w:p>
    <w:p>
      <w:pPr>
        <w:pStyle w:val="3"/>
        <w:spacing w:line="600" w:lineRule="exact"/>
        <w:rPr>
          <w:spacing w:val="-8"/>
          <w:w w:val="95"/>
          <w:lang w:eastAsia="zh-CN"/>
        </w:rPr>
      </w:pPr>
    </w:p>
    <w:p>
      <w:pPr>
        <w:pStyle w:val="3"/>
        <w:spacing w:line="640" w:lineRule="exact"/>
        <w:rPr>
          <w:rFonts w:cs="Times New Roman"/>
          <w:lang w:eastAsia="zh-CN"/>
        </w:rPr>
      </w:pPr>
      <w:r>
        <w:rPr>
          <w:rFonts w:hint="eastAsia"/>
          <w:spacing w:val="-8"/>
          <w:w w:val="95"/>
          <w:lang w:eastAsia="zh-CN"/>
        </w:rPr>
        <w:t>各县（市、区）市场监督管理局，开发区、东海工商分局，开发区食药监局，南三、奋勇分局，市局各业务科室</w:t>
      </w:r>
      <w:r>
        <w:rPr>
          <w:rFonts w:hint="eastAsia"/>
          <w:spacing w:val="-5"/>
          <w:lang w:eastAsia="zh-CN"/>
        </w:rPr>
        <w:t>：</w:t>
      </w:r>
    </w:p>
    <w:p>
      <w:pPr>
        <w:pStyle w:val="3"/>
        <w:spacing w:line="640" w:lineRule="exact"/>
        <w:ind w:firstLine="621"/>
        <w:rPr>
          <w:rFonts w:cs="Times New Roman"/>
          <w:lang w:eastAsia="zh-CN"/>
        </w:rPr>
      </w:pPr>
      <w:r>
        <w:rPr>
          <w:rFonts w:hint="eastAsia"/>
          <w:spacing w:val="-8"/>
          <w:w w:val="95"/>
          <w:lang w:eastAsia="zh-CN"/>
        </w:rPr>
        <w:t>现将《湛江市市场监督管理局开展“证照分离”改革全覆盖</w:t>
      </w:r>
      <w:r>
        <w:rPr>
          <w:rFonts w:hint="eastAsia"/>
          <w:spacing w:val="-9"/>
          <w:w w:val="95"/>
          <w:lang w:eastAsia="zh-CN"/>
        </w:rPr>
        <w:t>试点实施方案》印发给你们，请结合工作实际，认真贯彻落实。</w:t>
      </w:r>
    </w:p>
    <w:p>
      <w:pPr>
        <w:pStyle w:val="3"/>
        <w:spacing w:line="640" w:lineRule="exact"/>
        <w:rPr>
          <w:rFonts w:cs="Times New Roman"/>
          <w:sz w:val="20"/>
          <w:szCs w:val="20"/>
          <w:lang w:eastAsia="zh-CN"/>
        </w:rPr>
      </w:pPr>
    </w:p>
    <w:p>
      <w:pPr>
        <w:pStyle w:val="3"/>
        <w:spacing w:line="640" w:lineRule="exact"/>
        <w:rPr>
          <w:rFonts w:cs="Times New Roman"/>
          <w:sz w:val="20"/>
          <w:szCs w:val="20"/>
          <w:lang w:eastAsia="zh-CN"/>
        </w:rPr>
      </w:pPr>
    </w:p>
    <w:p>
      <w:pPr>
        <w:pStyle w:val="3"/>
        <w:spacing w:line="640" w:lineRule="exact"/>
        <w:rPr>
          <w:rFonts w:cs="Times New Roman"/>
          <w:sz w:val="20"/>
          <w:szCs w:val="20"/>
          <w:lang w:eastAsia="zh-CN"/>
        </w:rPr>
      </w:pPr>
    </w:p>
    <w:p>
      <w:pPr>
        <w:pStyle w:val="3"/>
        <w:spacing w:line="640" w:lineRule="exact"/>
        <w:rPr>
          <w:rFonts w:cs="Times New Roman"/>
          <w:sz w:val="20"/>
          <w:szCs w:val="20"/>
          <w:lang w:eastAsia="zh-CN"/>
        </w:rPr>
      </w:pPr>
    </w:p>
    <w:p>
      <w:pPr>
        <w:pStyle w:val="3"/>
        <w:spacing w:line="640" w:lineRule="exact"/>
        <w:ind w:right="440" w:rightChars="200"/>
        <w:jc w:val="right"/>
        <w:rPr>
          <w:rFonts w:cs="Times New Roman"/>
          <w:lang w:eastAsia="zh-CN"/>
        </w:rPr>
      </w:pPr>
      <w:r>
        <w:rPr>
          <w:rFonts w:hint="eastAsia"/>
          <w:lang w:eastAsia="zh-CN"/>
        </w:rPr>
        <w:t>湛江市市场监督管理局</w:t>
      </w:r>
    </w:p>
    <w:p>
      <w:pPr>
        <w:rPr>
          <w:sz w:val="32"/>
          <w:szCs w:val="32"/>
        </w:rPr>
      </w:pPr>
      <w:r>
        <w:rPr>
          <w:rFonts w:hint="eastAsia"/>
          <w:lang w:eastAsia="zh-CN"/>
        </w:rPr>
        <w:t xml:space="preserve">                                  </w:t>
      </w:r>
      <w:r>
        <w:rPr>
          <w:rFonts w:hint="eastAsia"/>
          <w:sz w:val="32"/>
          <w:szCs w:val="32"/>
          <w:lang w:eastAsia="zh-CN"/>
        </w:rPr>
        <w:t xml:space="preserve">             2020年3月5日</w:t>
      </w:r>
    </w:p>
    <w:p>
      <w:pPr>
        <w:pStyle w:val="3"/>
        <w:spacing w:line="640" w:lineRule="exact"/>
        <w:jc w:val="center"/>
        <w:rPr>
          <w:spacing w:val="-44"/>
          <w:lang w:eastAsia="zh-CN"/>
        </w:rPr>
      </w:pPr>
    </w:p>
    <w:p>
      <w:pPr>
        <w:pStyle w:val="3"/>
        <w:spacing w:line="640" w:lineRule="exact"/>
        <w:jc w:val="center"/>
        <w:rPr>
          <w:spacing w:val="-44"/>
          <w:lang w:eastAsia="zh-CN"/>
        </w:rPr>
      </w:pPr>
    </w:p>
    <w:p>
      <w:pPr>
        <w:pStyle w:val="2"/>
        <w:spacing w:before="0" w:line="660" w:lineRule="exact"/>
        <w:ind w:left="0"/>
        <w:jc w:val="center"/>
        <w:rPr>
          <w:rFonts w:ascii="方正小标宋简体" w:hAnsi="方正小标宋简体" w:eastAsia="方正小标宋简体" w:cs="方正小标宋简体"/>
          <w:lang w:eastAsia="zh-CN"/>
        </w:rPr>
      </w:pPr>
    </w:p>
    <w:p>
      <w:pPr>
        <w:pStyle w:val="2"/>
        <w:ind w:left="0"/>
        <w:rPr>
          <w:rFonts w:hint="eastAsia" w:ascii="方正小标宋简体" w:hAnsi="方正小标宋简体" w:eastAsia="方正小标宋简体" w:cs="方正小标宋简体"/>
          <w:lang w:eastAsia="zh-CN"/>
        </w:rPr>
      </w:pPr>
    </w:p>
    <w:p>
      <w:pPr>
        <w:rPr>
          <w:lang w:eastAsia="zh-CN"/>
        </w:rPr>
      </w:pPr>
    </w:p>
    <w:p>
      <w:pPr>
        <w:pStyle w:val="2"/>
        <w:spacing w:before="0" w:line="660" w:lineRule="exact"/>
        <w:ind w:left="0"/>
        <w:jc w:val="center"/>
        <w:rPr>
          <w:rFonts w:hint="eastAsia" w:ascii="方正小标宋简体" w:hAnsi="方正小标宋简体" w:eastAsia="方正小标宋简体" w:cs="方正小标宋简体"/>
          <w:lang w:eastAsia="zh-CN"/>
        </w:rPr>
      </w:pPr>
    </w:p>
    <w:p>
      <w:pPr>
        <w:pStyle w:val="2"/>
        <w:spacing w:before="0" w:line="660" w:lineRule="exact"/>
        <w:ind w:left="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湛江市市场监督管理局开展“证照分离”</w:t>
      </w:r>
    </w:p>
    <w:p>
      <w:pPr>
        <w:pStyle w:val="2"/>
        <w:spacing w:before="0" w:line="660" w:lineRule="exact"/>
        <w:ind w:left="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改革全覆盖试点实施方案</w:t>
      </w:r>
    </w:p>
    <w:p>
      <w:pPr>
        <w:spacing w:line="660" w:lineRule="exact"/>
        <w:jc w:val="center"/>
        <w:rPr>
          <w:rFonts w:ascii="方正小标宋简体" w:hAnsi="方正小标宋简体" w:eastAsia="方正小标宋简体" w:cs="方正小标宋简体"/>
          <w:sz w:val="44"/>
          <w:szCs w:val="44"/>
          <w:lang w:eastAsia="zh-CN"/>
        </w:rPr>
      </w:pPr>
    </w:p>
    <w:p>
      <w:pPr>
        <w:spacing w:line="600" w:lineRule="exact"/>
        <w:ind w:firstLine="640" w:firstLineChars="200"/>
        <w:rPr>
          <w:rFonts w:cs="Times New Roman"/>
          <w:sz w:val="32"/>
          <w:szCs w:val="32"/>
          <w:lang w:eastAsia="zh-CN"/>
        </w:rPr>
      </w:pPr>
      <w:r>
        <w:rPr>
          <w:rFonts w:hint="eastAsia"/>
          <w:sz w:val="32"/>
          <w:szCs w:val="32"/>
          <w:lang w:eastAsia="zh-CN"/>
        </w:rPr>
        <w:t>为贯彻落实《广东省人民政府关于印发广东省开展“证照分离”改革全覆盖试点实施方案》</w:t>
      </w:r>
      <w:r>
        <w:rPr>
          <w:rFonts w:hint="eastAsia" w:cs="仿宋_GB2312"/>
          <w:sz w:val="32"/>
          <w:szCs w:val="32"/>
          <w:lang w:eastAsia="zh-CN"/>
        </w:rPr>
        <w:t>（粤府函〔</w:t>
      </w:r>
      <w:r>
        <w:rPr>
          <w:rFonts w:cs="仿宋_GB2312"/>
          <w:sz w:val="32"/>
          <w:szCs w:val="32"/>
          <w:lang w:eastAsia="zh-CN"/>
        </w:rPr>
        <w:t>2019</w:t>
      </w:r>
      <w:r>
        <w:rPr>
          <w:rFonts w:hint="eastAsia" w:cs="仿宋_GB2312"/>
          <w:sz w:val="32"/>
          <w:szCs w:val="32"/>
          <w:lang w:eastAsia="zh-CN"/>
        </w:rPr>
        <w:t>〕</w:t>
      </w:r>
      <w:r>
        <w:rPr>
          <w:rFonts w:cs="仿宋_GB2312"/>
          <w:sz w:val="32"/>
          <w:szCs w:val="32"/>
          <w:lang w:eastAsia="zh-CN"/>
        </w:rPr>
        <w:t>405</w:t>
      </w:r>
      <w:r>
        <w:rPr>
          <w:rFonts w:hint="eastAsia" w:cs="仿宋_GB2312"/>
          <w:sz w:val="32"/>
          <w:szCs w:val="32"/>
          <w:lang w:eastAsia="zh-CN"/>
        </w:rPr>
        <w:t>号）</w:t>
      </w:r>
      <w:r>
        <w:rPr>
          <w:rFonts w:hint="eastAsia"/>
          <w:sz w:val="32"/>
          <w:szCs w:val="32"/>
          <w:lang w:eastAsia="zh-CN"/>
        </w:rPr>
        <w:t>的通知要求，全面扎实推进市场监管领域“证照分离”改革工作，结合本部门监管实际，制定本方案。</w:t>
      </w:r>
    </w:p>
    <w:p>
      <w:pPr>
        <w:spacing w:line="60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一、指导思想</w:t>
      </w:r>
    </w:p>
    <w:p>
      <w:pPr>
        <w:spacing w:line="600" w:lineRule="exact"/>
        <w:ind w:firstLine="640" w:firstLineChars="200"/>
        <w:jc w:val="both"/>
        <w:rPr>
          <w:sz w:val="32"/>
          <w:szCs w:val="32"/>
          <w:lang w:eastAsia="zh-CN"/>
        </w:rPr>
      </w:pPr>
      <w:r>
        <w:rPr>
          <w:rFonts w:hint="eastAsia"/>
          <w:sz w:val="32"/>
          <w:szCs w:val="32"/>
          <w:lang w:eastAsia="zh-CN"/>
        </w:rPr>
        <w:t>以习近平新时代中国特色社会主义思想为指导，全面贯彻党的十九大和十九届二中、三中、四中全会精神，深入贯彻习近平总书记对广东重要讲话和重要指示批示精神，坚持以人民为中心的发展理念，</w:t>
      </w:r>
      <w:r>
        <w:rPr>
          <w:rFonts w:hint="eastAsia" w:cs="仿宋_GB2312"/>
          <w:sz w:val="32"/>
          <w:szCs w:val="32"/>
          <w:lang w:eastAsia="zh-CN"/>
        </w:rPr>
        <w:t>持续深化“放管服”改革，优化营商环境，创新和</w:t>
      </w:r>
      <w:r>
        <w:rPr>
          <w:rFonts w:hint="eastAsia"/>
          <w:sz w:val="32"/>
          <w:szCs w:val="32"/>
          <w:lang w:eastAsia="zh-CN"/>
        </w:rPr>
        <w:t>加强事中事后监管，营造市场化、法治化、国际化的营商环境，推动我市经济高质量发展。</w:t>
      </w:r>
    </w:p>
    <w:p>
      <w:pPr>
        <w:spacing w:line="60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二、实施时间和内容</w:t>
      </w:r>
    </w:p>
    <w:p>
      <w:pPr>
        <w:spacing w:line="600" w:lineRule="exact"/>
        <w:ind w:firstLine="640" w:firstLineChars="200"/>
        <w:jc w:val="both"/>
        <w:rPr>
          <w:sz w:val="32"/>
          <w:szCs w:val="32"/>
          <w:lang w:eastAsia="zh-CN"/>
        </w:rPr>
      </w:pPr>
      <w:r>
        <w:rPr>
          <w:rFonts w:hint="eastAsia"/>
          <w:sz w:val="32"/>
          <w:szCs w:val="32"/>
          <w:lang w:eastAsia="zh-CN"/>
        </w:rPr>
        <w:t>自 2019 年 12 月 1 日起，除涉及调整适用法律、行政法规、国务院决定有关规定外，对我市市场监管领域涉企经营许可事项（见附件）按照实行告知承诺、优化审批服务两种方式推进改革。</w:t>
      </w:r>
    </w:p>
    <w:p>
      <w:pPr>
        <w:spacing w:line="600" w:lineRule="exact"/>
        <w:ind w:firstLine="640" w:firstLineChars="200"/>
        <w:rPr>
          <w:rFonts w:hint="eastAsia" w:ascii="黑体" w:hAnsi="黑体" w:eastAsia="黑体" w:cs="黑体"/>
          <w:sz w:val="32"/>
          <w:szCs w:val="32"/>
          <w:lang w:eastAsia="zh-CN"/>
        </w:rPr>
      </w:pPr>
    </w:p>
    <w:p>
      <w:pPr>
        <w:spacing w:line="60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三、落实分类改革主要任务</w:t>
      </w:r>
    </w:p>
    <w:p>
      <w:pPr>
        <w:spacing w:line="600" w:lineRule="exact"/>
        <w:ind w:firstLine="643" w:firstLineChars="200"/>
        <w:rPr>
          <w:rFonts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（一）建立清单管理制度</w:t>
      </w:r>
    </w:p>
    <w:p>
      <w:pPr>
        <w:spacing w:line="600" w:lineRule="exact"/>
        <w:ind w:firstLine="640" w:firstLineChars="200"/>
        <w:jc w:val="both"/>
        <w:rPr>
          <w:rFonts w:cs="Times New Roman"/>
          <w:sz w:val="32"/>
          <w:szCs w:val="32"/>
          <w:lang w:eastAsia="zh-CN"/>
        </w:rPr>
      </w:pPr>
      <w:r>
        <w:rPr>
          <w:rFonts w:hint="eastAsia"/>
          <w:sz w:val="32"/>
          <w:szCs w:val="32"/>
          <w:lang w:eastAsia="zh-CN"/>
        </w:rPr>
        <w:t>编制事项清单。根据《广东省“证照分离”改革全覆盖试点事项清单》（中央层面设定，</w:t>
      </w:r>
      <w:r>
        <w:rPr>
          <w:sz w:val="32"/>
          <w:szCs w:val="32"/>
          <w:lang w:eastAsia="zh-CN"/>
        </w:rPr>
        <w:t>2019</w:t>
      </w:r>
      <w:r>
        <w:rPr>
          <w:rFonts w:hint="eastAsia"/>
          <w:sz w:val="32"/>
          <w:szCs w:val="32"/>
          <w:lang w:eastAsia="zh-CN"/>
        </w:rPr>
        <w:t>年版，附件</w:t>
      </w:r>
      <w:r>
        <w:rPr>
          <w:sz w:val="32"/>
          <w:szCs w:val="32"/>
          <w:lang w:eastAsia="zh-CN"/>
        </w:rPr>
        <w:t>1</w:t>
      </w:r>
      <w:r>
        <w:rPr>
          <w:rFonts w:hint="eastAsia"/>
          <w:sz w:val="32"/>
          <w:szCs w:val="32"/>
          <w:lang w:eastAsia="zh-CN"/>
        </w:rPr>
        <w:t>）和《广东省“证照分离”改革全覆盖试点事项清单》（地方层面设定，</w:t>
      </w:r>
      <w:r>
        <w:rPr>
          <w:sz w:val="32"/>
          <w:szCs w:val="32"/>
          <w:lang w:eastAsia="zh-CN"/>
        </w:rPr>
        <w:t>2019</w:t>
      </w:r>
      <w:r>
        <w:rPr>
          <w:rFonts w:hint="eastAsia"/>
          <w:sz w:val="32"/>
          <w:szCs w:val="32"/>
          <w:lang w:eastAsia="zh-CN"/>
        </w:rPr>
        <w:t>年版，附件</w:t>
      </w:r>
      <w:r>
        <w:rPr>
          <w:sz w:val="32"/>
          <w:szCs w:val="32"/>
          <w:lang w:eastAsia="zh-CN"/>
        </w:rPr>
        <w:t>2</w:t>
      </w:r>
      <w:r>
        <w:rPr>
          <w:rFonts w:hint="eastAsia"/>
          <w:sz w:val="32"/>
          <w:szCs w:val="32"/>
          <w:lang w:eastAsia="zh-CN"/>
        </w:rPr>
        <w:t>），梳理形成我局事项清单共</w:t>
      </w:r>
      <w:r>
        <w:rPr>
          <w:sz w:val="32"/>
          <w:szCs w:val="32"/>
          <w:lang w:eastAsia="zh-CN"/>
        </w:rPr>
        <w:t>12</w:t>
      </w:r>
      <w:r>
        <w:rPr>
          <w:rFonts w:hint="eastAsia"/>
          <w:sz w:val="32"/>
          <w:szCs w:val="32"/>
          <w:lang w:eastAsia="zh-CN"/>
        </w:rPr>
        <w:t>项。逐项列明事项名称、设定依据、审批层级和部门、改革方式、具体改革举措、加强事中事后监管措施等内容。（市局许可注册科牵头，各县（市、区）局、</w:t>
      </w:r>
      <w:r>
        <w:rPr>
          <w:rFonts w:hint="eastAsia"/>
          <w:color w:val="000000"/>
          <w:sz w:val="32"/>
          <w:szCs w:val="32"/>
          <w:lang w:eastAsia="zh-CN"/>
        </w:rPr>
        <w:t>计量标准科、广监产权保护科、食品生产科、食品经营科、特种设备科、药品监管科、械妆监管科</w:t>
      </w:r>
      <w:r>
        <w:rPr>
          <w:rFonts w:hint="eastAsia"/>
          <w:sz w:val="32"/>
          <w:szCs w:val="32"/>
          <w:lang w:eastAsia="zh-CN"/>
        </w:rPr>
        <w:t>配合）</w:t>
      </w:r>
    </w:p>
    <w:p>
      <w:pPr>
        <w:spacing w:line="600" w:lineRule="exact"/>
        <w:ind w:firstLine="643" w:firstLineChars="200"/>
        <w:rPr>
          <w:rFonts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（二）分类推进审批事项改革</w:t>
      </w:r>
    </w:p>
    <w:p>
      <w:pPr>
        <w:spacing w:line="600" w:lineRule="exact"/>
        <w:ind w:firstLine="643" w:firstLineChars="200"/>
        <w:rPr>
          <w:rFonts w:cs="Times New Roman"/>
          <w:b/>
          <w:bCs/>
          <w:sz w:val="32"/>
          <w:szCs w:val="32"/>
          <w:lang w:eastAsia="zh-CN"/>
        </w:rPr>
      </w:pPr>
      <w:r>
        <w:rPr>
          <w:b/>
          <w:bCs/>
          <w:sz w:val="32"/>
          <w:szCs w:val="32"/>
          <w:lang w:eastAsia="zh-CN"/>
        </w:rPr>
        <w:t>1.</w:t>
      </w:r>
      <w:r>
        <w:rPr>
          <w:rFonts w:hint="eastAsia"/>
          <w:b/>
          <w:bCs/>
          <w:sz w:val="32"/>
          <w:szCs w:val="32"/>
          <w:lang w:eastAsia="zh-CN"/>
        </w:rPr>
        <w:t>稳步抓好告知承诺事项的试点改革。</w:t>
      </w:r>
    </w:p>
    <w:p>
      <w:pPr>
        <w:spacing w:line="600" w:lineRule="exact"/>
        <w:ind w:firstLine="640" w:firstLineChars="200"/>
        <w:jc w:val="both"/>
        <w:rPr>
          <w:rFonts w:cs="Times New Roman"/>
          <w:sz w:val="32"/>
          <w:szCs w:val="32"/>
          <w:lang w:eastAsia="zh-CN"/>
        </w:rPr>
      </w:pPr>
      <w:r>
        <w:rPr>
          <w:rFonts w:hint="eastAsia"/>
          <w:sz w:val="32"/>
          <w:szCs w:val="32"/>
          <w:lang w:eastAsia="zh-CN"/>
        </w:rPr>
        <w:t>实施告知承诺试点启动后，</w:t>
      </w:r>
      <w:r>
        <w:rPr>
          <w:rFonts w:hint="eastAsia"/>
          <w:color w:val="000000" w:themeColor="text1"/>
          <w:sz w:val="32"/>
          <w:szCs w:val="32"/>
          <w:lang w:eastAsia="zh-CN"/>
        </w:rPr>
        <w:t>各事项审批部门</w:t>
      </w:r>
      <w:r>
        <w:rPr>
          <w:rFonts w:hint="eastAsia"/>
          <w:sz w:val="32"/>
          <w:szCs w:val="32"/>
          <w:lang w:eastAsia="zh-CN"/>
        </w:rPr>
        <w:t>应及时依法准确完整列出可量化可操作、不含兜底条款的许可具体条件并依法公示，一次性告知企业许可条件、事中事后监管措施，以及违反承诺的后果，更新办事指南，提供告知承诺书示范文本。市局承担对各事项所涉业务予以指导职责的业务科室负责制定本级许可具体条件并对下级审批部门制定的下级相关业务许可具体条件予以指导监督。对企业自愿作出承诺并按照要求提交材料的，经形式审查后作出审批决定，并依法及时向社会公开审批证书有关信息，便利公众查询，加强社会监督。要将企业承诺内容通过网上平台公开，方便社会监督。（</w:t>
      </w:r>
      <w:r>
        <w:rPr>
          <w:rFonts w:hint="eastAsia"/>
          <w:color w:val="000000"/>
          <w:sz w:val="32"/>
          <w:szCs w:val="32"/>
          <w:lang w:eastAsia="zh-CN"/>
        </w:rPr>
        <w:t>许可注册科牵头</w:t>
      </w:r>
      <w:r>
        <w:rPr>
          <w:rFonts w:hint="eastAsia"/>
          <w:color w:val="0000FF"/>
          <w:sz w:val="32"/>
          <w:szCs w:val="32"/>
          <w:lang w:eastAsia="zh-CN"/>
        </w:rPr>
        <w:t>，</w:t>
      </w:r>
      <w:r>
        <w:rPr>
          <w:rFonts w:hint="eastAsia"/>
          <w:color w:val="000000"/>
          <w:sz w:val="32"/>
          <w:szCs w:val="32"/>
          <w:lang w:eastAsia="zh-CN"/>
        </w:rPr>
        <w:t>计量标准科、广监产权保护科、食品生产科、食品经营科、特种设备科、药品监管科、械妆监管科按职责负责</w:t>
      </w:r>
      <w:r>
        <w:rPr>
          <w:rFonts w:hint="eastAsia"/>
          <w:sz w:val="32"/>
          <w:szCs w:val="32"/>
          <w:lang w:eastAsia="zh-CN"/>
        </w:rPr>
        <w:t>）</w:t>
      </w:r>
    </w:p>
    <w:p>
      <w:pPr>
        <w:spacing w:line="600" w:lineRule="exact"/>
        <w:ind w:firstLine="640" w:firstLineChars="200"/>
        <w:jc w:val="both"/>
        <w:rPr>
          <w:rFonts w:cs="Times New Roman"/>
          <w:sz w:val="32"/>
          <w:szCs w:val="32"/>
          <w:lang w:eastAsia="zh-CN"/>
        </w:rPr>
      </w:pPr>
      <w:r>
        <w:rPr>
          <w:rFonts w:hint="eastAsia"/>
          <w:sz w:val="32"/>
          <w:szCs w:val="32"/>
          <w:lang w:eastAsia="zh-CN"/>
        </w:rPr>
        <w:t>有关监管科室应明确事中事后监管措施以及申请人违反承诺的后果，将通过告知承诺领证的企业与通过一般审批程序领证的企业平等对待，根据风险状况加强事中事后监管，不得对通过告知承诺领证的企业给予差别性待遇，包括加大“双随机、一公开”监管抽查比例或频次、实行差异化的信用监管等；对此类企业的监管标准和规则必须与其办证时的告知内容保持一致。因虚假承诺或违反承诺造成的损失由企业承担。（</w:t>
      </w:r>
      <w:r>
        <w:rPr>
          <w:rFonts w:hint="eastAsia"/>
          <w:color w:val="000000"/>
          <w:sz w:val="32"/>
          <w:szCs w:val="32"/>
          <w:lang w:eastAsia="zh-CN"/>
        </w:rPr>
        <w:t>信用风险科、计量标准科、广监产权保护科、食品生产科、食品经营科、特种设备科、药品监管科、械妆监管科按职责负责</w:t>
      </w:r>
      <w:r>
        <w:rPr>
          <w:rFonts w:hint="eastAsia"/>
          <w:sz w:val="32"/>
          <w:szCs w:val="32"/>
          <w:lang w:eastAsia="zh-CN"/>
        </w:rPr>
        <w:t>）</w:t>
      </w:r>
    </w:p>
    <w:p>
      <w:pPr>
        <w:spacing w:line="600" w:lineRule="exact"/>
        <w:ind w:firstLine="643" w:firstLineChars="200"/>
        <w:rPr>
          <w:rFonts w:cs="Times New Roman"/>
          <w:b/>
          <w:bCs/>
          <w:sz w:val="32"/>
          <w:szCs w:val="32"/>
          <w:lang w:eastAsia="zh-CN"/>
        </w:rPr>
      </w:pPr>
      <w:r>
        <w:rPr>
          <w:b/>
          <w:bCs/>
          <w:sz w:val="32"/>
          <w:szCs w:val="32"/>
          <w:lang w:eastAsia="zh-CN"/>
        </w:rPr>
        <w:t>2.</w:t>
      </w:r>
      <w:r>
        <w:rPr>
          <w:rFonts w:hint="eastAsia"/>
          <w:b/>
          <w:bCs/>
          <w:sz w:val="32"/>
          <w:szCs w:val="32"/>
          <w:lang w:eastAsia="zh-CN"/>
        </w:rPr>
        <w:t>妥善做好下放审批权限事项办理。</w:t>
      </w:r>
    </w:p>
    <w:p>
      <w:pPr>
        <w:spacing w:line="600" w:lineRule="exact"/>
        <w:ind w:firstLine="640" w:firstLineChars="200"/>
        <w:jc w:val="both"/>
        <w:rPr>
          <w:rFonts w:cs="Times New Roman"/>
          <w:sz w:val="32"/>
          <w:szCs w:val="32"/>
          <w:lang w:eastAsia="zh-CN"/>
        </w:rPr>
      </w:pPr>
      <w:r>
        <w:rPr>
          <w:rFonts w:hint="eastAsia"/>
          <w:sz w:val="32"/>
          <w:szCs w:val="32"/>
          <w:lang w:eastAsia="zh-CN"/>
        </w:rPr>
        <w:t>各县（市、区）局许可注册部门应依法对下放事项进行审批，规范自由裁量权，严格时限约束，消除隐形门槛，持续加强人员培训。作出审批决定后依法及时向社会公开审批证书有关信息，便利公众查询，加强社会监督。下放审批权限后，各县（市、区）局许可注册部门要加强与市局许可注册科的衔接，加强人员培训。执行过程中遇到新问题，及时向市局请示、汇报，确保下放的许可事项接得住、管得好。（许可注册科和各县（市、区）局按职责负责）</w:t>
      </w:r>
    </w:p>
    <w:p>
      <w:pPr>
        <w:spacing w:line="600" w:lineRule="exact"/>
        <w:ind w:firstLine="643" w:firstLineChars="200"/>
        <w:rPr>
          <w:b/>
          <w:bCs/>
          <w:sz w:val="32"/>
          <w:szCs w:val="32"/>
          <w:lang w:eastAsia="zh-CN"/>
        </w:rPr>
      </w:pPr>
      <w:r>
        <w:rPr>
          <w:rFonts w:hint="eastAsia"/>
          <w:b/>
          <w:bCs/>
          <w:sz w:val="32"/>
          <w:szCs w:val="32"/>
          <w:lang w:eastAsia="zh-CN"/>
        </w:rPr>
        <w:t>3.深入推进优化审批服务事项的实施</w:t>
      </w:r>
    </w:p>
    <w:p>
      <w:pPr>
        <w:spacing w:line="600" w:lineRule="exact"/>
        <w:ind w:firstLine="640" w:firstLineChars="200"/>
        <w:rPr>
          <w:sz w:val="32"/>
          <w:szCs w:val="32"/>
          <w:lang w:eastAsia="zh-CN"/>
        </w:rPr>
      </w:pPr>
      <w:r>
        <w:rPr>
          <w:rFonts w:hint="eastAsia"/>
          <w:sz w:val="32"/>
          <w:szCs w:val="32"/>
          <w:lang w:eastAsia="zh-CN"/>
        </w:rPr>
        <w:t>及时制定、更新优化审批服务事项办事指南并向社会公开。要针对企业关心的难点痛点问题，在精简审批材料、优化办事流程、压减审批时限、合并检查检验等措施的基础上，积极探索压减审批要件和环节的创新举措，坚决取消“奇葩证明”，优化审批服务。（市局许可注册科牵头，各县（市、区）局、计量标准科、广监产权保护科、食品生产科、食品经营科、特种设备科、药品监管科、械妆监管科按职责负责）</w:t>
      </w:r>
    </w:p>
    <w:p>
      <w:pPr>
        <w:spacing w:line="600" w:lineRule="exact"/>
        <w:ind w:firstLine="643" w:firstLineChars="200"/>
        <w:rPr>
          <w:rFonts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（三）完善改革配套措施</w:t>
      </w:r>
    </w:p>
    <w:p>
      <w:pPr>
        <w:spacing w:line="600" w:lineRule="exact"/>
        <w:ind w:firstLine="643" w:firstLineChars="200"/>
        <w:rPr>
          <w:rFonts w:cs="Times New Roman"/>
          <w:sz w:val="32"/>
          <w:szCs w:val="32"/>
          <w:lang w:eastAsia="zh-CN"/>
        </w:rPr>
      </w:pPr>
      <w:r>
        <w:rPr>
          <w:b/>
          <w:bCs/>
          <w:sz w:val="32"/>
          <w:szCs w:val="32"/>
          <w:lang w:eastAsia="zh-CN"/>
        </w:rPr>
        <w:t>1.</w:t>
      </w:r>
      <w:r>
        <w:rPr>
          <w:rFonts w:hint="eastAsia"/>
          <w:b/>
          <w:bCs/>
          <w:sz w:val="32"/>
          <w:szCs w:val="32"/>
          <w:lang w:eastAsia="zh-CN"/>
        </w:rPr>
        <w:t>深化事中事后监管。</w:t>
      </w:r>
      <w:r>
        <w:rPr>
          <w:rFonts w:hint="eastAsia"/>
          <w:sz w:val="32"/>
          <w:szCs w:val="32"/>
          <w:lang w:eastAsia="zh-CN"/>
        </w:rPr>
        <w:t>按照“四个最严”要求，充分运用检查、检验、监测等手段，加强日常监督管理，依法查处虚假承诺、非法经营等违法违规行为，督促企业持续依法合规经营。要增强监管威慑力，在监管过程中，发现虚假承诺或承诺严重不实的，责令企业限期整改，逾期不改或整改后仍达不到要求的，依法撤销许可证件，依照相关法律法规规定，在一定时限内不予受理相应许可申请。（信用风险科、</w:t>
      </w:r>
      <w:r>
        <w:rPr>
          <w:rFonts w:hint="eastAsia"/>
          <w:color w:val="000000"/>
          <w:sz w:val="32"/>
          <w:szCs w:val="32"/>
          <w:lang w:eastAsia="zh-CN"/>
        </w:rPr>
        <w:t>计量标准科、广监产权保护科、食品生产科、食品经营科、特种设备科、药品监管科、械妆监管科、许可注册科</w:t>
      </w:r>
      <w:r>
        <w:rPr>
          <w:rFonts w:hint="eastAsia"/>
          <w:sz w:val="32"/>
          <w:szCs w:val="32"/>
          <w:lang w:eastAsia="zh-CN"/>
        </w:rPr>
        <w:t>按职责负责）</w:t>
      </w:r>
    </w:p>
    <w:p>
      <w:pPr>
        <w:spacing w:line="600" w:lineRule="exact"/>
        <w:ind w:firstLine="643" w:firstLineChars="200"/>
        <w:jc w:val="both"/>
        <w:rPr>
          <w:rFonts w:cs="Times New Roman"/>
          <w:sz w:val="32"/>
          <w:szCs w:val="32"/>
          <w:lang w:eastAsia="zh-CN"/>
        </w:rPr>
      </w:pPr>
      <w:r>
        <w:rPr>
          <w:b/>
          <w:bCs/>
          <w:sz w:val="32"/>
          <w:szCs w:val="32"/>
          <w:lang w:eastAsia="zh-CN"/>
        </w:rPr>
        <w:t>2.</w:t>
      </w:r>
      <w:r>
        <w:rPr>
          <w:rFonts w:hint="eastAsia"/>
          <w:b/>
          <w:bCs/>
          <w:sz w:val="32"/>
          <w:szCs w:val="32"/>
          <w:lang w:eastAsia="zh-CN"/>
        </w:rPr>
        <w:t>创新监管工作模式。</w:t>
      </w:r>
      <w:r>
        <w:rPr>
          <w:rFonts w:hint="eastAsia"/>
          <w:sz w:val="32"/>
          <w:szCs w:val="32"/>
          <w:lang w:eastAsia="zh-CN"/>
        </w:rPr>
        <w:t>应将通过告知承诺获取许可的企业与通过一般审批程序获证的企业平等对待。对审批权限下放的事项，加强部门间的协调配合，及时共享相关信息。要全面推行“双随机、一公开”监管、跨部门联合监管和“互联网</w:t>
      </w:r>
      <w:r>
        <w:rPr>
          <w:sz w:val="32"/>
          <w:szCs w:val="32"/>
          <w:lang w:eastAsia="zh-CN"/>
        </w:rPr>
        <w:t>+</w:t>
      </w:r>
      <w:r>
        <w:rPr>
          <w:rFonts w:hint="eastAsia"/>
          <w:sz w:val="32"/>
          <w:szCs w:val="32"/>
          <w:lang w:eastAsia="zh-CN"/>
        </w:rPr>
        <w:t>监管”，对新技术、新产业、新业态、新模式实行包容审慎监管，对高风险行业和领域实行重点监管。按照信用监管要求，加强对检查结果的运用，对守信企业实行联合激励、对失信企业实施联合惩戒。进一步强化社会监督，依法及时处理投诉举报，引导社会力量参与场秩序治理。注重发挥行业协会作用，引导社会力量积极参与市场秩序治理。（</w:t>
      </w:r>
      <w:r>
        <w:rPr>
          <w:rFonts w:hint="eastAsia"/>
          <w:color w:val="000000"/>
          <w:sz w:val="32"/>
          <w:szCs w:val="32"/>
          <w:lang w:eastAsia="zh-CN"/>
        </w:rPr>
        <w:t>信用风险科、计量标准科、广监产权保护科、食品生产科、食品经营科、特种设备科、药品监管科、械妆监管科按职责负责</w:t>
      </w:r>
      <w:r>
        <w:rPr>
          <w:rFonts w:hint="eastAsia"/>
          <w:sz w:val="32"/>
          <w:szCs w:val="32"/>
          <w:lang w:eastAsia="zh-CN"/>
        </w:rPr>
        <w:t>）</w:t>
      </w:r>
    </w:p>
    <w:p>
      <w:pPr>
        <w:spacing w:line="600" w:lineRule="exact"/>
        <w:ind w:firstLine="643" w:firstLineChars="200"/>
        <w:rPr>
          <w:rFonts w:cs="Times New Roman"/>
          <w:sz w:val="32"/>
          <w:szCs w:val="32"/>
          <w:lang w:eastAsia="zh-CN"/>
        </w:rPr>
      </w:pPr>
      <w:r>
        <w:rPr>
          <w:b/>
          <w:bCs/>
          <w:sz w:val="32"/>
          <w:szCs w:val="32"/>
          <w:lang w:eastAsia="zh-CN"/>
        </w:rPr>
        <w:t>3.</w:t>
      </w:r>
      <w:r>
        <w:rPr>
          <w:rFonts w:hint="eastAsia"/>
          <w:b/>
          <w:bCs/>
          <w:sz w:val="32"/>
          <w:szCs w:val="32"/>
          <w:lang w:eastAsia="zh-CN"/>
        </w:rPr>
        <w:t>持续提高服务水平。</w:t>
      </w:r>
      <w:r>
        <w:rPr>
          <w:rFonts w:hint="eastAsia"/>
          <w:sz w:val="32"/>
          <w:szCs w:val="32"/>
          <w:lang w:eastAsia="zh-CN"/>
        </w:rPr>
        <w:t>深入推进审批服务标准化，规范自由裁量权，严格时限约束，消除隐形门槛。深入推进“五个网上”政务服务方式，强化申请、受理、审评、审批、发证全流程“一网通办”、“最多跑一次”理念。加强对审批行为的监督管理，建立审批服务“好差评”制度，由企业评判服务绩效。（许可注册科牵头，各县（市、区）局按职责负责）</w:t>
      </w:r>
    </w:p>
    <w:p>
      <w:pPr>
        <w:spacing w:line="600" w:lineRule="exact"/>
        <w:ind w:firstLine="643" w:firstLineChars="200"/>
        <w:rPr>
          <w:rFonts w:cs="Times New Roman"/>
          <w:color w:val="000000"/>
          <w:sz w:val="32"/>
          <w:szCs w:val="32"/>
          <w:lang w:eastAsia="zh-CN"/>
        </w:rPr>
      </w:pPr>
      <w:r>
        <w:rPr>
          <w:b/>
          <w:bCs/>
          <w:sz w:val="32"/>
          <w:szCs w:val="32"/>
          <w:lang w:eastAsia="zh-CN"/>
        </w:rPr>
        <w:t>4.</w:t>
      </w:r>
      <w:r>
        <w:rPr>
          <w:rFonts w:hint="eastAsia"/>
          <w:b/>
          <w:bCs/>
          <w:sz w:val="32"/>
          <w:szCs w:val="32"/>
          <w:lang w:eastAsia="zh-CN"/>
        </w:rPr>
        <w:t>坚持依法有序推进改革。</w:t>
      </w:r>
      <w:r>
        <w:rPr>
          <w:rFonts w:hint="eastAsia"/>
          <w:sz w:val="32"/>
          <w:szCs w:val="32"/>
          <w:lang w:eastAsia="zh-CN"/>
        </w:rPr>
        <w:t>根据法律法规的调整情况，以及国家总局、省局对规章、规范性文件的调整情况，及时调整我局事项清单。各县（市、区）局对市局已委托事项应按照本方案的要求持续抓好落实。试点工作推进过程中，遇到新情况、新问题，要及时组织研究并报告。</w:t>
      </w:r>
      <w:r>
        <w:rPr>
          <w:rFonts w:hint="eastAsia"/>
          <w:color w:val="000000"/>
          <w:sz w:val="32"/>
          <w:szCs w:val="32"/>
          <w:lang w:eastAsia="zh-CN"/>
        </w:rPr>
        <w:t>（政策法规科牵头</w:t>
      </w:r>
      <w:r>
        <w:rPr>
          <w:rFonts w:hint="eastAsia"/>
          <w:sz w:val="32"/>
          <w:szCs w:val="32"/>
          <w:lang w:eastAsia="zh-CN"/>
        </w:rPr>
        <w:t>，各县（市、区）局按职责负责</w:t>
      </w:r>
      <w:r>
        <w:rPr>
          <w:rFonts w:hint="eastAsia"/>
          <w:color w:val="000000"/>
          <w:sz w:val="32"/>
          <w:szCs w:val="32"/>
          <w:lang w:eastAsia="zh-CN"/>
        </w:rPr>
        <w:t>）</w:t>
      </w:r>
    </w:p>
    <w:p>
      <w:pPr>
        <w:spacing w:line="60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五、切实抓好改革政策落实</w:t>
      </w:r>
    </w:p>
    <w:p>
      <w:pPr>
        <w:spacing w:line="600" w:lineRule="exact"/>
        <w:ind w:firstLine="643" w:firstLineChars="200"/>
        <w:rPr>
          <w:rFonts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（一）强化组织领导</w:t>
      </w:r>
    </w:p>
    <w:p>
      <w:pPr>
        <w:spacing w:line="600" w:lineRule="exact"/>
        <w:ind w:firstLine="640" w:firstLineChars="200"/>
        <w:rPr>
          <w:rFonts w:cs="Times New Roman"/>
          <w:sz w:val="32"/>
          <w:szCs w:val="32"/>
          <w:lang w:eastAsia="zh-CN"/>
        </w:rPr>
      </w:pPr>
      <w:r>
        <w:rPr>
          <w:rFonts w:hint="eastAsia"/>
          <w:sz w:val="32"/>
          <w:szCs w:val="32"/>
          <w:lang w:eastAsia="zh-CN"/>
        </w:rPr>
        <w:t>市局成立“证照分离”改革试点工作领导小组，局主要负责同志任组长，领导班子其他成员任副组长，市局各科室主要负责同志任成员，负责改革试点工作的组织领导、重要事项决策、审议进展情况等工作；成立改革试点工作领导小组办公室，由许可注册科主要负责同志任办公室主任，相关人员为组员，负责推进落实领导小组决策部署，做好改革试点工作信息收集及上报工作，督促各县（市、区）局抓好工作落实，推动改革试点工作落实落细见实效。市局各科室根据职责分工，落实好改革试点工作，按要求上报改革试点工作进展。</w:t>
      </w:r>
    </w:p>
    <w:p>
      <w:pPr>
        <w:spacing w:line="600" w:lineRule="exact"/>
        <w:ind w:firstLine="643" w:firstLineChars="200"/>
        <w:rPr>
          <w:rFonts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（二）狠抓工作落实</w:t>
      </w:r>
    </w:p>
    <w:p>
      <w:pPr>
        <w:spacing w:line="600" w:lineRule="exact"/>
        <w:ind w:firstLine="640" w:firstLineChars="200"/>
        <w:rPr>
          <w:rFonts w:cs="Times New Roman"/>
          <w:sz w:val="32"/>
          <w:szCs w:val="32"/>
          <w:lang w:eastAsia="zh-CN"/>
        </w:rPr>
      </w:pPr>
      <w:r>
        <w:rPr>
          <w:rFonts w:hint="eastAsia" w:cs="仿宋_GB2312"/>
          <w:sz w:val="32"/>
          <w:szCs w:val="32"/>
          <w:lang w:eastAsia="zh-CN"/>
        </w:rPr>
        <w:t>各单位要积极通过政府网站、新闻媒体、微信等多种宣传方式做好改革宣传和政策解读，扩大政策知晓度，营造有利于改革的良好氛围；要加强培训工作，提升业务素质和服务意识，确保改革顺利推进。在“证照分离”改革全覆盖试点过程中，及时完善政策举措，发现和推广典型经验，总结试点情况，发现和推广典型经验，确保试点取得预期成效，不断提升企业获得感。</w:t>
      </w:r>
    </w:p>
    <w:p>
      <w:pPr>
        <w:rPr>
          <w:rFonts w:hint="eastAsia"/>
          <w:spacing w:val="-11"/>
          <w:sz w:val="32"/>
          <w:szCs w:val="32"/>
          <w:lang w:eastAsia="zh-CN"/>
        </w:rPr>
      </w:pPr>
    </w:p>
    <w:p>
      <w:pPr>
        <w:rPr>
          <w:spacing w:val="-11"/>
          <w:sz w:val="32"/>
          <w:szCs w:val="32"/>
          <w:lang w:eastAsia="zh-CN"/>
        </w:rPr>
        <w:sectPr>
          <w:footerReference r:id="rId3" w:type="default"/>
          <w:pgSz w:w="11906" w:h="16838"/>
          <w:pgMar w:top="2098" w:right="1587" w:bottom="1701" w:left="1587" w:header="851" w:footer="992" w:gutter="0"/>
          <w:pgNumType w:fmt="numberInDash"/>
          <w:cols w:space="0" w:num="1"/>
          <w:docGrid w:type="lines" w:linePitch="312" w:charSpace="0"/>
        </w:sectPr>
      </w:pPr>
      <w:r>
        <w:rPr>
          <w:rFonts w:hint="eastAsia"/>
          <w:spacing w:val="-11"/>
          <w:sz w:val="32"/>
          <w:szCs w:val="32"/>
          <w:lang w:eastAsia="zh-CN"/>
        </w:rPr>
        <w:t>附件：湛江市市场监督管理局“证照分离”改革</w:t>
      </w:r>
      <w:r>
        <w:rPr>
          <w:rFonts w:hint="eastAsia"/>
          <w:sz w:val="32"/>
          <w:szCs w:val="32"/>
          <w:lang w:eastAsia="zh-CN"/>
        </w:rPr>
        <w:t>事项清单</w:t>
      </w:r>
    </w:p>
    <w:p>
      <w:pPr>
        <w:autoSpaceDE/>
        <w:autoSpaceDN/>
        <w:spacing w:line="600" w:lineRule="exact"/>
        <w:jc w:val="both"/>
        <w:rPr>
          <w:rFonts w:ascii="黑体" w:hAnsi="黑体" w:eastAsia="黑体" w:cs="黑体"/>
          <w:sz w:val="44"/>
          <w:szCs w:val="44"/>
          <w:lang w:eastAsia="zh-CN"/>
        </w:rPr>
      </w:pPr>
      <w:r>
        <w:rPr>
          <w:rFonts w:hint="eastAsia" w:ascii="黑体" w:hAnsi="黑体" w:eastAsia="黑体" w:cs="黑体"/>
          <w:sz w:val="32"/>
          <w:szCs w:val="32"/>
          <w:lang w:eastAsia="zh-CN"/>
        </w:rPr>
        <w:t>附件</w:t>
      </w:r>
      <w:r>
        <w:rPr>
          <w:rFonts w:ascii="黑体" w:hAnsi="黑体" w:eastAsia="黑体" w:cs="黑体"/>
          <w:sz w:val="32"/>
          <w:szCs w:val="32"/>
          <w:lang w:eastAsia="zh-CN"/>
        </w:rPr>
        <w:t xml:space="preserve">  </w:t>
      </w:r>
    </w:p>
    <w:p>
      <w:pPr>
        <w:autoSpaceDE/>
        <w:autoSpaceDN/>
        <w:spacing w:line="60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湛江市市场监督管理局“证照分离”改革事项清单</w:t>
      </w:r>
    </w:p>
    <w:p>
      <w:pPr>
        <w:autoSpaceDE/>
        <w:autoSpaceDN/>
        <w:spacing w:line="600" w:lineRule="exact"/>
        <w:jc w:val="both"/>
        <w:rPr>
          <w:rFonts w:ascii="方正小标宋_GBK" w:hAnsi="方正小标宋_GBK" w:eastAsia="方正小标宋_GBK" w:cs="Times New Roman"/>
          <w:sz w:val="44"/>
          <w:szCs w:val="44"/>
          <w:lang w:eastAsia="zh-CN"/>
        </w:rPr>
      </w:pPr>
    </w:p>
    <w:tbl>
      <w:tblPr>
        <w:tblStyle w:val="7"/>
        <w:tblW w:w="0" w:type="auto"/>
        <w:jc w:val="center"/>
        <w:tblLayout w:type="fixed"/>
        <w:tblCellMar>
          <w:top w:w="15" w:type="dxa"/>
          <w:left w:w="15" w:type="dxa"/>
          <w:bottom w:w="15" w:type="dxa"/>
          <w:right w:w="15" w:type="dxa"/>
        </w:tblCellMar>
      </w:tblPr>
      <w:tblGrid>
        <w:gridCol w:w="403"/>
        <w:gridCol w:w="969"/>
        <w:gridCol w:w="1056"/>
        <w:gridCol w:w="961"/>
        <w:gridCol w:w="1009"/>
        <w:gridCol w:w="1011"/>
        <w:gridCol w:w="939"/>
        <w:gridCol w:w="651"/>
        <w:gridCol w:w="650"/>
        <w:gridCol w:w="651"/>
        <w:gridCol w:w="650"/>
        <w:gridCol w:w="649"/>
        <w:gridCol w:w="2129"/>
        <w:gridCol w:w="2362"/>
        <w:gridCol w:w="650"/>
      </w:tblGrid>
      <w:tr>
        <w:tblPrEx>
          <w:tblCellMar>
            <w:top w:w="15" w:type="dxa"/>
            <w:left w:w="15" w:type="dxa"/>
            <w:bottom w:w="15" w:type="dxa"/>
            <w:right w:w="15" w:type="dxa"/>
          </w:tblCellMar>
        </w:tblPrEx>
        <w:trPr>
          <w:trHeight w:val="315" w:hRule="atLeast"/>
          <w:tblHeader/>
          <w:jc w:val="center"/>
        </w:trPr>
        <w:tc>
          <w:tcPr>
            <w:tcW w:w="403"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序号</w:t>
            </w: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国家主管部门</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改革事项</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lang w:eastAsia="zh-CN"/>
              </w:rPr>
            </w:pPr>
            <w:r>
              <w:rPr>
                <w:rFonts w:hint="eastAsia" w:ascii="黑体" w:hAnsi="黑体" w:eastAsia="黑体" w:cs="黑体"/>
                <w:color w:val="000000"/>
                <w:sz w:val="20"/>
                <w:szCs w:val="20"/>
                <w:lang w:eastAsia="zh-CN"/>
              </w:rPr>
              <w:t>许可证件</w:t>
            </w:r>
          </w:p>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名称</w:t>
            </w:r>
          </w:p>
        </w:tc>
        <w:tc>
          <w:tcPr>
            <w:tcW w:w="100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省级事项名称</w:t>
            </w:r>
          </w:p>
        </w:tc>
        <w:tc>
          <w:tcPr>
            <w:tcW w:w="1011"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省级主管部门</w:t>
            </w:r>
          </w:p>
        </w:tc>
        <w:tc>
          <w:tcPr>
            <w:tcW w:w="93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设定依据</w:t>
            </w:r>
          </w:p>
        </w:tc>
        <w:tc>
          <w:tcPr>
            <w:tcW w:w="651"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审批层级和部门</w:t>
            </w:r>
          </w:p>
        </w:tc>
        <w:tc>
          <w:tcPr>
            <w:tcW w:w="260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改革方式</w:t>
            </w:r>
          </w:p>
        </w:tc>
        <w:tc>
          <w:tcPr>
            <w:tcW w:w="212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具体改革举措</w:t>
            </w:r>
          </w:p>
        </w:tc>
        <w:tc>
          <w:tcPr>
            <w:tcW w:w="2362"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lang w:eastAsia="zh-CN"/>
              </w:rPr>
            </w:pPr>
            <w:r>
              <w:rPr>
                <w:rFonts w:hint="eastAsia" w:ascii="黑体" w:hAnsi="黑体" w:eastAsia="黑体" w:cs="黑体"/>
                <w:color w:val="000000"/>
                <w:sz w:val="20"/>
                <w:szCs w:val="20"/>
                <w:lang w:eastAsia="zh-CN"/>
              </w:rPr>
              <w:t>加强事中事后监管措施</w:t>
            </w:r>
          </w:p>
        </w:tc>
        <w:tc>
          <w:tcPr>
            <w:tcW w:w="65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备注</w:t>
            </w:r>
          </w:p>
        </w:tc>
      </w:tr>
      <w:tr>
        <w:tblPrEx>
          <w:tblCellMar>
            <w:top w:w="15" w:type="dxa"/>
            <w:left w:w="15" w:type="dxa"/>
            <w:bottom w:w="15" w:type="dxa"/>
            <w:right w:w="15" w:type="dxa"/>
          </w:tblCellMar>
        </w:tblPrEx>
        <w:trPr>
          <w:trHeight w:val="860" w:hRule="atLeast"/>
          <w:tblHeader/>
          <w:jc w:val="center"/>
        </w:trPr>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直接</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取消</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审批</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改为</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备案</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实行</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告知</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承诺</w:t>
            </w: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优化</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审批</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服务</w:t>
            </w:r>
          </w:p>
        </w:tc>
        <w:tc>
          <w:tcPr>
            <w:tcW w:w="212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c>
          <w:tcPr>
            <w:tcW w:w="2362"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b/>
                <w:bCs/>
                <w:color w:val="000000"/>
                <w:sz w:val="20"/>
                <w:szCs w:val="20"/>
              </w:rPr>
            </w:pPr>
          </w:p>
        </w:tc>
      </w:tr>
      <w:tr>
        <w:tblPrEx>
          <w:tblCellMar>
            <w:top w:w="15" w:type="dxa"/>
            <w:left w:w="15" w:type="dxa"/>
            <w:bottom w:w="15" w:type="dxa"/>
            <w:right w:w="15" w:type="dxa"/>
          </w:tblCellMar>
        </w:tblPrEx>
        <w:trPr>
          <w:trHeight w:val="90"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ascii="宋体" w:hAnsi="宋体" w:cs="宋体"/>
                <w:color w:val="000000"/>
                <w:sz w:val="20"/>
                <w:szCs w:val="20"/>
                <w:lang w:eastAsia="zh-CN"/>
              </w:rPr>
              <w:t>1</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市场监管总局</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食品生产许可</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食品生产许可证</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食品生产许可（不含保健食品、婴幼儿配方乳粉、特殊医学用途配方食品）</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广东省市场监督管理局</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《中华人民共和国食品安全法》</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县级以上地方市场监管部门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1"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themeColor="text1"/>
                <w:sz w:val="20"/>
                <w:szCs w:val="20"/>
                <w:lang w:eastAsia="zh-CN"/>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ascii="宋体" w:hAnsi="宋体" w:eastAsia="宋体" w:cs="宋体"/>
                <w:color w:val="000000"/>
                <w:sz w:val="20"/>
                <w:szCs w:val="20"/>
                <w:lang w:eastAsia="zh-CN"/>
              </w:rPr>
              <w:t>1.</w:t>
            </w:r>
            <w:r>
              <w:rPr>
                <w:rFonts w:hint="eastAsia" w:ascii="宋体" w:hAnsi="宋体" w:eastAsia="宋体" w:cs="宋体"/>
                <w:color w:val="000000"/>
                <w:sz w:val="20"/>
                <w:szCs w:val="20"/>
                <w:lang w:eastAsia="zh-CN"/>
              </w:rPr>
              <w:t>实现申请、审批全程网上办理。</w:t>
            </w:r>
            <w:r>
              <w:rPr>
                <w:rFonts w:ascii="宋体" w:hAnsi="宋体" w:eastAsia="宋体" w:cs="宋体"/>
                <w:color w:val="000000"/>
                <w:sz w:val="20"/>
                <w:szCs w:val="20"/>
                <w:lang w:eastAsia="zh-CN"/>
              </w:rPr>
              <w:t>2.</w:t>
            </w:r>
            <w:r>
              <w:rPr>
                <w:rFonts w:hint="eastAsia" w:ascii="宋体" w:hAnsi="宋体" w:eastAsia="宋体" w:cs="宋体"/>
                <w:color w:val="000000"/>
                <w:sz w:val="20"/>
                <w:szCs w:val="20"/>
                <w:lang w:eastAsia="zh-CN"/>
              </w:rPr>
              <w:t>不再要求申请人提供营业执照、食品安全管理制度文本等材料。</w:t>
            </w:r>
            <w:r>
              <w:rPr>
                <w:rFonts w:ascii="宋体" w:hAnsi="宋体" w:eastAsia="宋体" w:cs="宋体"/>
                <w:color w:val="000000"/>
                <w:sz w:val="20"/>
                <w:szCs w:val="20"/>
                <w:lang w:eastAsia="zh-CN"/>
              </w:rPr>
              <w:t>3.</w:t>
            </w:r>
            <w:r>
              <w:rPr>
                <w:rFonts w:hint="eastAsia" w:ascii="宋体" w:hAnsi="宋体" w:eastAsia="宋体" w:cs="宋体"/>
                <w:color w:val="000000"/>
                <w:sz w:val="20"/>
                <w:szCs w:val="20"/>
                <w:lang w:eastAsia="zh-CN"/>
              </w:rPr>
              <w:t>将审批时限由</w:t>
            </w:r>
            <w:r>
              <w:rPr>
                <w:rFonts w:ascii="宋体" w:hAnsi="宋体" w:eastAsia="宋体" w:cs="宋体"/>
                <w:color w:val="000000"/>
                <w:sz w:val="20"/>
                <w:szCs w:val="20"/>
                <w:lang w:eastAsia="zh-CN"/>
              </w:rPr>
              <w:t>20</w:t>
            </w:r>
            <w:r>
              <w:rPr>
                <w:rFonts w:hint="eastAsia" w:ascii="宋体" w:hAnsi="宋体" w:eastAsia="宋体" w:cs="宋体"/>
                <w:color w:val="000000"/>
                <w:sz w:val="20"/>
                <w:szCs w:val="20"/>
                <w:lang w:eastAsia="zh-CN"/>
              </w:rPr>
              <w:t>个工作日压减至</w:t>
            </w:r>
            <w:r>
              <w:rPr>
                <w:rFonts w:ascii="宋体" w:hAnsi="宋体" w:eastAsia="宋体" w:cs="宋体"/>
                <w:color w:val="000000"/>
                <w:sz w:val="20"/>
                <w:szCs w:val="20"/>
                <w:lang w:eastAsia="zh-CN"/>
              </w:rPr>
              <w:t>10</w:t>
            </w:r>
            <w:r>
              <w:rPr>
                <w:rFonts w:hint="eastAsia" w:ascii="宋体" w:hAnsi="宋体" w:eastAsia="宋体" w:cs="宋体"/>
                <w:color w:val="000000"/>
                <w:sz w:val="20"/>
                <w:szCs w:val="20"/>
                <w:lang w:eastAsia="zh-CN"/>
              </w:rPr>
              <w:t>个工作日。</w:t>
            </w:r>
          </w:p>
        </w:tc>
        <w:tc>
          <w:tcPr>
            <w:tcW w:w="2362"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ascii="宋体" w:hAnsi="宋体" w:eastAsia="宋体" w:cs="宋体"/>
                <w:color w:val="000000"/>
                <w:sz w:val="20"/>
                <w:szCs w:val="20"/>
                <w:lang w:eastAsia="zh-CN"/>
              </w:rPr>
              <w:t>1.</w:t>
            </w:r>
            <w:r>
              <w:rPr>
                <w:rFonts w:hint="eastAsia" w:ascii="宋体" w:hAnsi="宋体" w:eastAsia="宋体" w:cs="宋体"/>
                <w:color w:val="000000"/>
                <w:sz w:val="20"/>
                <w:szCs w:val="20"/>
                <w:lang w:eastAsia="zh-CN"/>
              </w:rPr>
              <w:t>严格执行有关法律法规和标准，落实风险分级分类监管制度，开展“双随机、一公开”监管，加大监督检查和抽检力度，发现违法违规行为的要依法严查重处并公开结果。</w:t>
            </w:r>
            <w:r>
              <w:rPr>
                <w:rFonts w:ascii="宋体" w:hAnsi="宋体" w:eastAsia="宋体" w:cs="宋体"/>
                <w:color w:val="000000"/>
                <w:sz w:val="20"/>
                <w:szCs w:val="20"/>
                <w:lang w:eastAsia="zh-CN"/>
              </w:rPr>
              <w:t>2.</w:t>
            </w:r>
            <w:r>
              <w:rPr>
                <w:rFonts w:hint="eastAsia" w:ascii="宋体" w:hAnsi="宋体" w:eastAsia="宋体" w:cs="宋体"/>
                <w:color w:val="000000"/>
                <w:sz w:val="20"/>
                <w:szCs w:val="20"/>
                <w:lang w:eastAsia="zh-CN"/>
              </w:rPr>
              <w:t>加强信用监管，向社会公布食品生产企业信用状况，对失信主体开展联合惩戒。</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r>
      <w:tr>
        <w:tblPrEx>
          <w:tblCellMar>
            <w:top w:w="15" w:type="dxa"/>
            <w:left w:w="15" w:type="dxa"/>
            <w:bottom w:w="15" w:type="dxa"/>
            <w:right w:w="15" w:type="dxa"/>
          </w:tblCellMar>
        </w:tblPrEx>
        <w:trPr>
          <w:trHeight w:val="2511"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ascii="宋体" w:hAnsi="宋体" w:cs="宋体"/>
                <w:color w:val="000000"/>
                <w:sz w:val="20"/>
                <w:szCs w:val="20"/>
                <w:lang w:eastAsia="zh-CN"/>
              </w:rPr>
              <w:t>2</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市场监管总局</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食品添加剂生产许可</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食品生产许可证</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食品添加剂生产许可</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广东省市场监督管理局</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《中华人民共和国食品安全法》</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市级市场监督管理</w:t>
            </w:r>
            <w:r>
              <w:rPr>
                <w:rFonts w:hint="eastAsia" w:ascii="宋体" w:hAnsi="宋体"/>
                <w:color w:val="000000"/>
                <w:sz w:val="20"/>
                <w:szCs w:val="20"/>
                <w:lang w:eastAsia="zh-CN"/>
              </w:rPr>
              <w:t>部门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1"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ascii="宋体" w:hAnsi="宋体" w:eastAsia="宋体" w:cs="宋体"/>
                <w:color w:val="000000"/>
                <w:sz w:val="20"/>
                <w:szCs w:val="20"/>
                <w:lang w:eastAsia="zh-CN"/>
              </w:rPr>
              <w:t>1.</w:t>
            </w:r>
            <w:r>
              <w:rPr>
                <w:rFonts w:hint="eastAsia" w:ascii="宋体" w:hAnsi="宋体" w:eastAsia="宋体" w:cs="宋体"/>
                <w:color w:val="000000"/>
                <w:sz w:val="20"/>
                <w:szCs w:val="20"/>
                <w:lang w:eastAsia="zh-CN"/>
              </w:rPr>
              <w:t>实现申请、审批全程网上办理。2</w:t>
            </w:r>
            <w:r>
              <w:rPr>
                <w:rFonts w:ascii="宋体" w:hAnsi="宋体" w:eastAsia="宋体" w:cs="宋体"/>
                <w:color w:val="000000"/>
                <w:sz w:val="20"/>
                <w:szCs w:val="20"/>
                <w:lang w:eastAsia="zh-CN"/>
              </w:rPr>
              <w:t>.</w:t>
            </w:r>
            <w:r>
              <w:rPr>
                <w:rFonts w:hint="eastAsia" w:ascii="宋体" w:hAnsi="宋体" w:eastAsia="宋体" w:cs="宋体"/>
                <w:color w:val="000000"/>
                <w:sz w:val="20"/>
                <w:szCs w:val="20"/>
                <w:lang w:eastAsia="zh-CN"/>
              </w:rPr>
              <w:t>不再要求申请人提供营业执照、食品安全管理制度文本等材料。3</w:t>
            </w:r>
            <w:r>
              <w:rPr>
                <w:rFonts w:ascii="宋体" w:hAnsi="宋体" w:eastAsia="宋体" w:cs="宋体"/>
                <w:color w:val="000000"/>
                <w:sz w:val="20"/>
                <w:szCs w:val="20"/>
                <w:lang w:eastAsia="zh-CN"/>
              </w:rPr>
              <w:t>.</w:t>
            </w:r>
            <w:r>
              <w:rPr>
                <w:rFonts w:hint="eastAsia" w:ascii="宋体" w:hAnsi="宋体" w:eastAsia="宋体" w:cs="宋体"/>
                <w:color w:val="000000"/>
                <w:sz w:val="20"/>
                <w:szCs w:val="20"/>
                <w:lang w:eastAsia="zh-CN"/>
              </w:rPr>
              <w:t>将审批时限由</w:t>
            </w:r>
            <w:r>
              <w:rPr>
                <w:rFonts w:ascii="宋体" w:hAnsi="宋体" w:eastAsia="宋体" w:cs="宋体"/>
                <w:color w:val="000000"/>
                <w:sz w:val="20"/>
                <w:szCs w:val="20"/>
                <w:lang w:eastAsia="zh-CN"/>
              </w:rPr>
              <w:t>20</w:t>
            </w:r>
            <w:r>
              <w:rPr>
                <w:rFonts w:hint="eastAsia" w:ascii="宋体" w:hAnsi="宋体" w:eastAsia="宋体" w:cs="宋体"/>
                <w:color w:val="000000"/>
                <w:sz w:val="20"/>
                <w:szCs w:val="20"/>
                <w:lang w:eastAsia="zh-CN"/>
              </w:rPr>
              <w:t>个工作日压减至</w:t>
            </w:r>
            <w:r>
              <w:rPr>
                <w:rFonts w:ascii="宋体" w:hAnsi="宋体" w:eastAsia="宋体" w:cs="宋体"/>
                <w:color w:val="000000"/>
                <w:sz w:val="20"/>
                <w:szCs w:val="20"/>
                <w:lang w:eastAsia="zh-CN"/>
              </w:rPr>
              <w:t>10</w:t>
            </w:r>
            <w:r>
              <w:rPr>
                <w:rFonts w:hint="eastAsia" w:ascii="宋体" w:hAnsi="宋体" w:eastAsia="宋体" w:cs="宋体"/>
                <w:color w:val="000000"/>
                <w:sz w:val="20"/>
                <w:szCs w:val="20"/>
                <w:lang w:eastAsia="zh-CN"/>
              </w:rPr>
              <w:t>个工作日。</w:t>
            </w:r>
          </w:p>
        </w:tc>
        <w:tc>
          <w:tcPr>
            <w:tcW w:w="2362"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ascii="宋体" w:hAnsi="宋体" w:eastAsia="宋体" w:cs="宋体"/>
                <w:color w:val="000000"/>
                <w:sz w:val="20"/>
                <w:szCs w:val="20"/>
                <w:lang w:eastAsia="zh-CN"/>
              </w:rPr>
              <w:t>1.</w:t>
            </w:r>
            <w:r>
              <w:rPr>
                <w:rFonts w:hint="eastAsia" w:ascii="宋体" w:hAnsi="宋体" w:eastAsia="宋体" w:cs="宋体"/>
                <w:color w:val="000000"/>
                <w:sz w:val="20"/>
                <w:szCs w:val="20"/>
                <w:lang w:eastAsia="zh-CN"/>
              </w:rPr>
              <w:t>严格执行有关法律法规和标准，对食品添加剂生产企业加强监管。</w:t>
            </w:r>
            <w:r>
              <w:rPr>
                <w:rFonts w:ascii="宋体" w:hAnsi="宋体" w:eastAsia="宋体" w:cs="宋体"/>
                <w:color w:val="000000"/>
                <w:sz w:val="20"/>
                <w:szCs w:val="20"/>
                <w:lang w:eastAsia="zh-CN"/>
              </w:rPr>
              <w:t>2.</w:t>
            </w:r>
            <w:r>
              <w:rPr>
                <w:rFonts w:hint="eastAsia" w:ascii="宋体" w:hAnsi="宋体" w:eastAsia="宋体" w:cs="宋体"/>
                <w:color w:val="000000"/>
                <w:sz w:val="20"/>
                <w:szCs w:val="20"/>
                <w:lang w:eastAsia="zh-CN"/>
              </w:rPr>
              <w:t>开展“双随机、一公开”监管，发现违法违规行为的要依法严查重处并公开结果。</w:t>
            </w:r>
            <w:r>
              <w:rPr>
                <w:rFonts w:ascii="宋体" w:hAnsi="宋体" w:eastAsia="宋体" w:cs="宋体"/>
                <w:color w:val="000000"/>
                <w:sz w:val="20"/>
                <w:szCs w:val="20"/>
                <w:lang w:eastAsia="zh-CN"/>
              </w:rPr>
              <w:t>3.</w:t>
            </w:r>
            <w:r>
              <w:rPr>
                <w:rFonts w:hint="eastAsia" w:ascii="宋体" w:hAnsi="宋体" w:eastAsia="宋体" w:cs="宋体"/>
                <w:color w:val="000000"/>
                <w:sz w:val="20"/>
                <w:szCs w:val="20"/>
                <w:lang w:eastAsia="zh-CN"/>
              </w:rPr>
              <w:t>加强信用监管，向社会公布食品添加剂生产企业信用状况，对失信主体开展联合惩戒。</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r>
      <w:tr>
        <w:tblPrEx>
          <w:tblCellMar>
            <w:top w:w="15" w:type="dxa"/>
            <w:left w:w="15" w:type="dxa"/>
            <w:bottom w:w="15" w:type="dxa"/>
            <w:right w:w="15" w:type="dxa"/>
          </w:tblCellMar>
        </w:tblPrEx>
        <w:trPr>
          <w:trHeight w:val="2640"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ascii="宋体" w:hAnsi="宋体" w:cs="宋体"/>
                <w:color w:val="000000"/>
                <w:sz w:val="20"/>
                <w:szCs w:val="20"/>
                <w:lang w:eastAsia="zh-CN"/>
              </w:rPr>
              <w:t>3</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市场监管总局</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移动式压力容器、气瓶充装单位许可</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移动式压力容器充装许可证、气瓶充装许可证</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气瓶、移动式压力容器充装单位许可</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广东省市场监督管理局</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《中华人民共和国特种设备安全法》《特种设备安全监察条例》</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市级市场监管部门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rPr>
            </w:pPr>
          </w:p>
        </w:tc>
        <w:tc>
          <w:tcPr>
            <w:tcW w:w="651"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rPr>
            </w:pP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ascii="宋体" w:hAnsi="宋体" w:eastAsia="宋体" w:cs="宋体"/>
                <w:color w:val="000000"/>
                <w:sz w:val="20"/>
                <w:szCs w:val="20"/>
                <w:lang w:eastAsia="zh-CN"/>
              </w:rPr>
              <w:t>1.</w:t>
            </w:r>
            <w:r>
              <w:rPr>
                <w:rFonts w:hint="eastAsia" w:ascii="宋体" w:hAnsi="宋体" w:eastAsia="宋体" w:cs="宋体"/>
                <w:color w:val="000000"/>
                <w:sz w:val="20"/>
                <w:szCs w:val="20"/>
                <w:lang w:eastAsia="zh-CN"/>
              </w:rPr>
              <w:t>对许可周期内未发生行政处罚、责任事故、投诉未结案等情况的充装单位，在许可证书有效期满前，采取企业自愿承诺方式申请直接换证，取消鉴定评审要求，但不可连续两个许可周期申请直接换证。</w:t>
            </w:r>
            <w:r>
              <w:rPr>
                <w:rFonts w:ascii="宋体" w:hAnsi="宋体" w:eastAsia="宋体" w:cs="宋体"/>
                <w:color w:val="000000"/>
                <w:sz w:val="20"/>
                <w:szCs w:val="20"/>
                <w:lang w:eastAsia="zh-CN"/>
              </w:rPr>
              <w:t>2.</w:t>
            </w:r>
            <w:r>
              <w:rPr>
                <w:rFonts w:hint="eastAsia" w:ascii="宋体" w:hAnsi="宋体" w:eastAsia="宋体" w:cs="宋体"/>
                <w:color w:val="000000"/>
                <w:sz w:val="20"/>
                <w:szCs w:val="20"/>
                <w:lang w:eastAsia="zh-CN"/>
              </w:rPr>
              <w:t>将审批时限由</w:t>
            </w:r>
            <w:r>
              <w:rPr>
                <w:rFonts w:ascii="宋体" w:hAnsi="宋体" w:eastAsia="宋体" w:cs="宋体"/>
                <w:color w:val="000000"/>
                <w:sz w:val="20"/>
                <w:szCs w:val="20"/>
                <w:lang w:eastAsia="zh-CN"/>
              </w:rPr>
              <w:t>30</w:t>
            </w:r>
            <w:r>
              <w:rPr>
                <w:rFonts w:hint="eastAsia" w:ascii="宋体" w:hAnsi="宋体" w:eastAsia="宋体" w:cs="宋体"/>
                <w:color w:val="000000"/>
                <w:sz w:val="20"/>
                <w:szCs w:val="20"/>
                <w:lang w:eastAsia="zh-CN"/>
              </w:rPr>
              <w:t>个工作日压减至1</w:t>
            </w:r>
            <w:r>
              <w:rPr>
                <w:rFonts w:ascii="宋体" w:hAnsi="宋体" w:eastAsia="宋体" w:cs="宋体"/>
                <w:color w:val="000000"/>
                <w:sz w:val="20"/>
                <w:szCs w:val="20"/>
                <w:lang w:eastAsia="zh-CN"/>
              </w:rPr>
              <w:t>5</w:t>
            </w:r>
            <w:r>
              <w:rPr>
                <w:rFonts w:hint="eastAsia" w:ascii="宋体" w:hAnsi="宋体" w:eastAsia="宋体" w:cs="宋体"/>
                <w:color w:val="000000"/>
                <w:sz w:val="20"/>
                <w:szCs w:val="20"/>
                <w:lang w:eastAsia="zh-CN"/>
              </w:rPr>
              <w:t>个工作日（不含鉴定评审时限）。</w:t>
            </w:r>
          </w:p>
        </w:tc>
        <w:tc>
          <w:tcPr>
            <w:tcW w:w="2362"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ascii="宋体" w:hAnsi="宋体" w:eastAsia="宋体" w:cs="宋体"/>
                <w:color w:val="000000"/>
                <w:sz w:val="20"/>
                <w:szCs w:val="20"/>
                <w:lang w:eastAsia="zh-CN"/>
              </w:rPr>
              <w:t>1.</w:t>
            </w:r>
            <w:r>
              <w:rPr>
                <w:rFonts w:hint="eastAsia" w:ascii="宋体" w:hAnsi="宋体" w:eastAsia="宋体" w:cs="宋体"/>
                <w:color w:val="000000"/>
                <w:sz w:val="20"/>
                <w:szCs w:val="20"/>
                <w:lang w:eastAsia="zh-CN"/>
              </w:rPr>
              <w:t>开展“双随机、一公开”监管，发现违法违规行为的要依法查处并公开结果。</w:t>
            </w:r>
            <w:r>
              <w:rPr>
                <w:rFonts w:ascii="宋体" w:hAnsi="宋体" w:eastAsia="宋体" w:cs="宋体"/>
                <w:color w:val="000000"/>
                <w:sz w:val="20"/>
                <w:szCs w:val="20"/>
                <w:lang w:eastAsia="zh-CN"/>
              </w:rPr>
              <w:t>2.</w:t>
            </w:r>
            <w:r>
              <w:rPr>
                <w:rFonts w:hint="eastAsia" w:ascii="宋体" w:hAnsi="宋体" w:eastAsia="宋体" w:cs="宋体"/>
                <w:color w:val="000000"/>
                <w:sz w:val="20"/>
                <w:szCs w:val="20"/>
                <w:lang w:eastAsia="zh-CN"/>
              </w:rPr>
              <w:t>对有投诉举报和发生充装事故的企业实施重点监管。</w:t>
            </w:r>
            <w:r>
              <w:rPr>
                <w:rFonts w:ascii="宋体" w:hAnsi="宋体" w:eastAsia="宋体" w:cs="宋体"/>
                <w:color w:val="000000"/>
                <w:sz w:val="20"/>
                <w:szCs w:val="20"/>
                <w:lang w:eastAsia="zh-CN"/>
              </w:rPr>
              <w:t>3.</w:t>
            </w:r>
            <w:r>
              <w:rPr>
                <w:rFonts w:hint="eastAsia" w:ascii="宋体" w:hAnsi="宋体" w:eastAsia="宋体" w:cs="宋体"/>
                <w:color w:val="000000"/>
                <w:sz w:val="20"/>
                <w:szCs w:val="20"/>
                <w:lang w:eastAsia="zh-CN"/>
              </w:rPr>
              <w:t>针对通过自愿承诺申请直接换证的充装单位，发现提交的申请材料中有虚假内容的要依法处理。</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r>
      <w:tr>
        <w:tblPrEx>
          <w:tblCellMar>
            <w:top w:w="15" w:type="dxa"/>
            <w:left w:w="15" w:type="dxa"/>
            <w:bottom w:w="15" w:type="dxa"/>
            <w:right w:w="15" w:type="dxa"/>
          </w:tblCellMar>
        </w:tblPrEx>
        <w:trPr>
          <w:trHeight w:val="870"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ascii="宋体" w:hAnsi="宋体" w:cs="宋体"/>
                <w:color w:val="000000"/>
                <w:sz w:val="20"/>
                <w:szCs w:val="20"/>
                <w:lang w:eastAsia="zh-CN"/>
              </w:rPr>
              <w:t>4</w:t>
            </w: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国家药监局</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药品零售企业许可</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药品经营许可证</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药品经营许可</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广东省药品监督管理局</w:t>
            </w:r>
          </w:p>
        </w:tc>
        <w:tc>
          <w:tcPr>
            <w:tcW w:w="93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《中华人民共和国药品管理法》</w:t>
            </w:r>
          </w:p>
        </w:tc>
        <w:tc>
          <w:tcPr>
            <w:tcW w:w="651"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设区的市、县级市场监管部门</w:t>
            </w:r>
          </w:p>
        </w:tc>
        <w:tc>
          <w:tcPr>
            <w:tcW w:w="650" w:type="dxa"/>
            <w:vMerge w:val="restart"/>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1" w:type="dxa"/>
            <w:vMerge w:val="restart"/>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0" w:type="dxa"/>
            <w:vMerge w:val="restart"/>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4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w:t>
            </w:r>
          </w:p>
        </w:tc>
        <w:tc>
          <w:tcPr>
            <w:tcW w:w="212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不再要求申请人提供营业执照等材料。</w:t>
            </w:r>
          </w:p>
        </w:tc>
        <w:tc>
          <w:tcPr>
            <w:tcW w:w="2362"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ascii="宋体" w:hAnsi="宋体" w:cs="宋体"/>
                <w:color w:val="000000"/>
                <w:sz w:val="20"/>
                <w:szCs w:val="20"/>
                <w:lang w:eastAsia="zh-CN"/>
              </w:rPr>
              <w:t>1.</w:t>
            </w:r>
            <w:r>
              <w:rPr>
                <w:rFonts w:hint="eastAsia" w:ascii="宋体" w:hAnsi="宋体" w:eastAsia="宋体" w:cs="宋体"/>
                <w:color w:val="000000"/>
                <w:sz w:val="20"/>
                <w:szCs w:val="20"/>
                <w:lang w:eastAsia="zh-CN"/>
              </w:rPr>
              <w:t>落实“四个最严”要求，制定年度监管计划，突出监管重点，强化风险控制。</w:t>
            </w:r>
            <w:r>
              <w:rPr>
                <w:rFonts w:ascii="宋体" w:hAnsi="宋体" w:cs="宋体"/>
                <w:color w:val="000000"/>
                <w:sz w:val="20"/>
                <w:szCs w:val="20"/>
                <w:lang w:eastAsia="zh-CN"/>
              </w:rPr>
              <w:t>2.</w:t>
            </w:r>
            <w:r>
              <w:rPr>
                <w:rFonts w:hint="eastAsia" w:ascii="宋体" w:hAnsi="宋体" w:eastAsia="宋体" w:cs="宋体"/>
                <w:color w:val="000000"/>
                <w:sz w:val="20"/>
                <w:szCs w:val="20"/>
                <w:lang w:eastAsia="zh-CN"/>
              </w:rPr>
              <w:t>通过日常监管督促企业不断完善、改进质量管理体系，持续合法合规经营。</w:t>
            </w:r>
            <w:r>
              <w:rPr>
                <w:rFonts w:ascii="宋体" w:hAnsi="宋体" w:cs="宋体"/>
                <w:color w:val="000000"/>
                <w:sz w:val="20"/>
                <w:szCs w:val="20"/>
                <w:lang w:eastAsia="zh-CN"/>
              </w:rPr>
              <w:t>3.</w:t>
            </w:r>
            <w:r>
              <w:rPr>
                <w:rFonts w:hint="eastAsia" w:ascii="宋体" w:hAnsi="宋体" w:eastAsia="宋体" w:cs="宋体"/>
                <w:color w:val="000000"/>
                <w:sz w:val="20"/>
                <w:szCs w:val="20"/>
                <w:lang w:eastAsia="zh-CN"/>
              </w:rPr>
              <w:t>对违法违规行为，依法严厉查处并公开曝光。</w:t>
            </w:r>
          </w:p>
        </w:tc>
        <w:tc>
          <w:tcPr>
            <w:tcW w:w="650" w:type="dxa"/>
            <w:vMerge w:val="restart"/>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r>
      <w:tr>
        <w:tblPrEx>
          <w:tblCellMar>
            <w:top w:w="15" w:type="dxa"/>
            <w:left w:w="15" w:type="dxa"/>
            <w:bottom w:w="15" w:type="dxa"/>
            <w:right w:w="15" w:type="dxa"/>
          </w:tblCellMar>
        </w:tblPrEx>
        <w:trPr>
          <w:trHeight w:val="990"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药品经营许可证补发</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广东省药品监督管理局</w:t>
            </w: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1"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1"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212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rPr>
                <w:rFonts w:ascii="宋体" w:hAnsi="宋体" w:eastAsia="宋体" w:cs="Times New Roman"/>
                <w:color w:val="000000"/>
                <w:sz w:val="20"/>
                <w:szCs w:val="20"/>
                <w:lang w:eastAsia="zh-CN"/>
              </w:rPr>
            </w:pPr>
          </w:p>
        </w:tc>
        <w:tc>
          <w:tcPr>
            <w:tcW w:w="2362"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rPr>
                <w:rFonts w:ascii="宋体" w:hAnsi="宋体" w:eastAsia="宋体" w:cs="Times New Roman"/>
                <w:color w:val="000000"/>
                <w:sz w:val="20"/>
                <w:szCs w:val="20"/>
                <w:lang w:eastAsia="zh-CN"/>
              </w:rPr>
            </w:pPr>
          </w:p>
        </w:tc>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r>
      <w:tr>
        <w:tblPrEx>
          <w:tblCellMar>
            <w:top w:w="15" w:type="dxa"/>
            <w:left w:w="15" w:type="dxa"/>
            <w:bottom w:w="15" w:type="dxa"/>
            <w:right w:w="15" w:type="dxa"/>
          </w:tblCellMar>
        </w:tblPrEx>
        <w:trPr>
          <w:trHeight w:val="1025" w:hRule="atLeast"/>
          <w:jc w:val="center"/>
        </w:trPr>
        <w:tc>
          <w:tcPr>
            <w:tcW w:w="403" w:type="dxa"/>
            <w:vMerge w:val="restart"/>
            <w:tcBorders>
              <w:top w:val="single" w:color="000000" w:sz="4" w:space="0"/>
              <w:left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ascii="宋体" w:hAnsi="宋体" w:cs="宋体"/>
                <w:color w:val="000000"/>
                <w:sz w:val="20"/>
                <w:szCs w:val="20"/>
                <w:lang w:eastAsia="zh-CN"/>
              </w:rPr>
              <w:t>5</w:t>
            </w:r>
          </w:p>
        </w:tc>
        <w:tc>
          <w:tcPr>
            <w:tcW w:w="969" w:type="dxa"/>
            <w:vMerge w:val="restart"/>
            <w:tcBorders>
              <w:top w:val="single" w:color="000000" w:sz="4" w:space="0"/>
              <w:left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国家药监局</w:t>
            </w:r>
          </w:p>
        </w:tc>
        <w:tc>
          <w:tcPr>
            <w:tcW w:w="1056" w:type="dxa"/>
            <w:vMerge w:val="restart"/>
            <w:tcBorders>
              <w:top w:val="single" w:color="000000" w:sz="4" w:space="0"/>
              <w:left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第三类医疗器械经营许可</w:t>
            </w:r>
          </w:p>
        </w:tc>
        <w:tc>
          <w:tcPr>
            <w:tcW w:w="961" w:type="dxa"/>
            <w:vMerge w:val="restart"/>
            <w:tcBorders>
              <w:top w:val="single" w:color="000000" w:sz="4" w:space="0"/>
              <w:left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医疗器械经营许可证</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第三类医疗器械经营许可</w:t>
            </w:r>
          </w:p>
        </w:tc>
        <w:tc>
          <w:tcPr>
            <w:tcW w:w="1011" w:type="dxa"/>
            <w:vMerge w:val="restart"/>
            <w:tcBorders>
              <w:top w:val="single" w:color="000000" w:sz="4" w:space="0"/>
              <w:left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广东省药品监督管理局</w:t>
            </w:r>
          </w:p>
        </w:tc>
        <w:tc>
          <w:tcPr>
            <w:tcW w:w="939" w:type="dxa"/>
            <w:vMerge w:val="restart"/>
            <w:tcBorders>
              <w:top w:val="single" w:color="000000" w:sz="4" w:space="0"/>
              <w:left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《医疗器械监督管理条例》</w:t>
            </w:r>
          </w:p>
        </w:tc>
        <w:tc>
          <w:tcPr>
            <w:tcW w:w="651" w:type="dxa"/>
            <w:vMerge w:val="restart"/>
            <w:tcBorders>
              <w:top w:val="single" w:color="000000" w:sz="4" w:space="0"/>
              <w:left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设区的市级市场监管部门</w:t>
            </w:r>
          </w:p>
        </w:tc>
        <w:tc>
          <w:tcPr>
            <w:tcW w:w="650" w:type="dxa"/>
            <w:vMerge w:val="restart"/>
            <w:tcBorders>
              <w:top w:val="single" w:color="000000" w:sz="4" w:space="0"/>
              <w:left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1" w:type="dxa"/>
            <w:vMerge w:val="restart"/>
            <w:tcBorders>
              <w:top w:val="single" w:color="000000" w:sz="4" w:space="0"/>
              <w:left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0" w:type="dxa"/>
            <w:vMerge w:val="restart"/>
            <w:tcBorders>
              <w:top w:val="single" w:color="000000" w:sz="4" w:space="0"/>
              <w:left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49" w:type="dxa"/>
            <w:vMerge w:val="restart"/>
            <w:tcBorders>
              <w:top w:val="single" w:color="000000" w:sz="4" w:space="0"/>
              <w:left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w:t>
            </w:r>
          </w:p>
        </w:tc>
        <w:tc>
          <w:tcPr>
            <w:tcW w:w="2129" w:type="dxa"/>
            <w:vMerge w:val="restart"/>
            <w:tcBorders>
              <w:top w:val="single" w:color="000000" w:sz="4" w:space="0"/>
              <w:left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1.不再要求申请人提供营业执照等材料。2.将审批时限由</w:t>
            </w:r>
            <w:r>
              <w:rPr>
                <w:rFonts w:ascii="宋体" w:hAnsi="宋体" w:eastAsia="宋体" w:cs="宋体"/>
                <w:color w:val="000000"/>
                <w:sz w:val="20"/>
                <w:szCs w:val="20"/>
                <w:lang w:eastAsia="zh-CN"/>
              </w:rPr>
              <w:t>30</w:t>
            </w:r>
            <w:r>
              <w:rPr>
                <w:rFonts w:hint="eastAsia" w:ascii="宋体" w:hAnsi="宋体" w:eastAsia="宋体" w:cs="宋体"/>
                <w:color w:val="000000"/>
                <w:sz w:val="20"/>
                <w:szCs w:val="20"/>
                <w:lang w:eastAsia="zh-CN"/>
              </w:rPr>
              <w:t>个工作日压减至</w:t>
            </w:r>
            <w:r>
              <w:rPr>
                <w:rFonts w:ascii="宋体" w:hAnsi="宋体" w:eastAsia="宋体" w:cs="宋体"/>
                <w:color w:val="000000"/>
                <w:sz w:val="20"/>
                <w:szCs w:val="20"/>
                <w:lang w:eastAsia="zh-CN"/>
              </w:rPr>
              <w:t>20</w:t>
            </w:r>
            <w:r>
              <w:rPr>
                <w:rFonts w:hint="eastAsia" w:ascii="宋体" w:hAnsi="宋体" w:eastAsia="宋体" w:cs="宋体"/>
                <w:color w:val="000000"/>
                <w:sz w:val="20"/>
                <w:szCs w:val="20"/>
                <w:lang w:eastAsia="zh-CN"/>
              </w:rPr>
              <w:t>个工作日。</w:t>
            </w:r>
          </w:p>
        </w:tc>
        <w:tc>
          <w:tcPr>
            <w:tcW w:w="2362" w:type="dxa"/>
            <w:vMerge w:val="restart"/>
            <w:tcBorders>
              <w:top w:val="single" w:color="000000" w:sz="4" w:space="0"/>
              <w:left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加大执法检查力度，督促企业严格落实医疗器械经营质量管理规范要求，发现违法违规行为的要依法严查重处。</w:t>
            </w:r>
          </w:p>
        </w:tc>
        <w:tc>
          <w:tcPr>
            <w:tcW w:w="650" w:type="dxa"/>
            <w:vMerge w:val="restart"/>
            <w:tcBorders>
              <w:top w:val="single" w:color="000000" w:sz="4" w:space="0"/>
              <w:left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r>
      <w:tr>
        <w:tblPrEx>
          <w:tblCellMar>
            <w:top w:w="15" w:type="dxa"/>
            <w:left w:w="15" w:type="dxa"/>
            <w:bottom w:w="15" w:type="dxa"/>
            <w:right w:w="15" w:type="dxa"/>
          </w:tblCellMar>
        </w:tblPrEx>
        <w:trPr>
          <w:trHeight w:val="1025" w:hRule="atLeast"/>
          <w:jc w:val="center"/>
        </w:trPr>
        <w:tc>
          <w:tcPr>
            <w:tcW w:w="403"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cs="Times New Roman"/>
                <w:lang w:eastAsia="zh-CN"/>
              </w:rPr>
            </w:pPr>
          </w:p>
        </w:tc>
        <w:tc>
          <w:tcPr>
            <w:tcW w:w="969"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cs="Times New Roman"/>
                <w:lang w:eastAsia="zh-CN"/>
              </w:rPr>
            </w:pPr>
          </w:p>
        </w:tc>
        <w:tc>
          <w:tcPr>
            <w:tcW w:w="1056"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cs="Times New Roman"/>
                <w:lang w:eastAsia="zh-CN"/>
              </w:rPr>
            </w:pPr>
          </w:p>
        </w:tc>
        <w:tc>
          <w:tcPr>
            <w:tcW w:w="961"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cs="Times New Roman"/>
                <w:lang w:eastAsia="zh-CN"/>
              </w:rPr>
            </w:pP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第三类医疗器械经营许可证补发</w:t>
            </w:r>
          </w:p>
        </w:tc>
        <w:tc>
          <w:tcPr>
            <w:tcW w:w="1011"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p>
        </w:tc>
        <w:tc>
          <w:tcPr>
            <w:tcW w:w="939"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p>
        </w:tc>
        <w:tc>
          <w:tcPr>
            <w:tcW w:w="651"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p>
        </w:tc>
        <w:tc>
          <w:tcPr>
            <w:tcW w:w="650"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p>
        </w:tc>
        <w:tc>
          <w:tcPr>
            <w:tcW w:w="651"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p>
        </w:tc>
        <w:tc>
          <w:tcPr>
            <w:tcW w:w="650"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p>
        </w:tc>
        <w:tc>
          <w:tcPr>
            <w:tcW w:w="649"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p>
        </w:tc>
        <w:tc>
          <w:tcPr>
            <w:tcW w:w="2129"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p>
        </w:tc>
        <w:tc>
          <w:tcPr>
            <w:tcW w:w="2362"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p>
        </w:tc>
        <w:tc>
          <w:tcPr>
            <w:tcW w:w="650" w:type="dxa"/>
            <w:vMerge w:val="continue"/>
            <w:tcBorders>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p>
        </w:tc>
      </w:tr>
      <w:tr>
        <w:tblPrEx>
          <w:tblCellMar>
            <w:top w:w="15" w:type="dxa"/>
            <w:left w:w="15" w:type="dxa"/>
            <w:bottom w:w="15" w:type="dxa"/>
            <w:right w:w="15" w:type="dxa"/>
          </w:tblCellMar>
        </w:tblPrEx>
        <w:trPr>
          <w:trHeight w:val="2000"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ascii="宋体" w:hAnsi="宋体" w:cs="宋体"/>
                <w:color w:val="000000"/>
                <w:sz w:val="20"/>
                <w:szCs w:val="20"/>
                <w:lang w:eastAsia="zh-CN"/>
              </w:rPr>
              <w:t>6</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市场监管总局</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承担国家法定计量检定机构任务授权</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计量授权证书</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承担国家法定计量检定机构任务的授权</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广东省市场监督管理局</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《中华人民共和国计量法》</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县级以上市场监管部门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kern w:val="2"/>
                <w:sz w:val="20"/>
                <w:szCs w:val="20"/>
                <w:lang w:eastAsia="zh-CN"/>
              </w:rPr>
            </w:pPr>
          </w:p>
        </w:tc>
        <w:tc>
          <w:tcPr>
            <w:tcW w:w="651"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kern w:val="2"/>
                <w:sz w:val="20"/>
                <w:szCs w:val="20"/>
                <w:lang w:eastAsia="zh-CN"/>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kern w:val="2"/>
                <w:sz w:val="20"/>
                <w:szCs w:val="20"/>
                <w:lang w:eastAsia="zh-CN"/>
              </w:rPr>
            </w:pP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kern w:val="2"/>
                <w:sz w:val="20"/>
                <w:szCs w:val="20"/>
                <w:lang w:eastAsia="zh-CN"/>
              </w:rPr>
            </w:pPr>
            <w:r>
              <w:rPr>
                <w:rFonts w:ascii="宋体" w:hAnsi="宋体" w:cs="宋体"/>
                <w:color w:val="000000"/>
                <w:sz w:val="20"/>
                <w:szCs w:val="20"/>
                <w:lang w:eastAsia="zh-CN"/>
              </w:rPr>
              <w:t>1.</w:t>
            </w:r>
            <w:r>
              <w:rPr>
                <w:rFonts w:hint="eastAsia" w:ascii="宋体" w:hAnsi="宋体" w:eastAsia="宋体" w:cs="宋体"/>
                <w:color w:val="000000"/>
                <w:sz w:val="20"/>
                <w:szCs w:val="20"/>
                <w:lang w:eastAsia="zh-CN"/>
              </w:rPr>
              <w:t>实现申请、审批全程网上办理。</w:t>
            </w:r>
            <w:r>
              <w:rPr>
                <w:rFonts w:ascii="宋体" w:hAnsi="宋体" w:cs="宋体"/>
                <w:color w:val="000000"/>
                <w:sz w:val="20"/>
                <w:szCs w:val="20"/>
                <w:lang w:eastAsia="zh-CN"/>
              </w:rPr>
              <w:t>2.</w:t>
            </w:r>
            <w:r>
              <w:rPr>
                <w:rFonts w:hint="eastAsia" w:ascii="宋体" w:hAnsi="宋体" w:eastAsia="宋体" w:cs="宋体"/>
                <w:color w:val="000000"/>
                <w:sz w:val="20"/>
                <w:szCs w:val="20"/>
                <w:lang w:eastAsia="zh-CN"/>
              </w:rPr>
              <w:t>取消计量标准考核证书、计量检定或校准人员能力证明等申请材料。</w:t>
            </w:r>
            <w:r>
              <w:rPr>
                <w:rFonts w:ascii="宋体" w:hAnsi="宋体" w:cs="宋体"/>
                <w:color w:val="000000"/>
                <w:sz w:val="20"/>
                <w:szCs w:val="20"/>
                <w:lang w:eastAsia="zh-CN"/>
              </w:rPr>
              <w:t>3.</w:t>
            </w:r>
            <w:r>
              <w:rPr>
                <w:rFonts w:hint="eastAsia" w:ascii="宋体" w:hAnsi="宋体" w:eastAsia="宋体" w:cs="宋体"/>
                <w:color w:val="000000"/>
                <w:sz w:val="20"/>
                <w:szCs w:val="20"/>
                <w:lang w:eastAsia="zh-CN"/>
              </w:rPr>
              <w:t>对变更法定代表人、授权签字人或计量规程等需现场审查的事项，由法定计量检定机构自愿承诺符合相关要求，审批部门对承诺内容进行形式审查后办理。</w:t>
            </w:r>
          </w:p>
        </w:tc>
        <w:tc>
          <w:tcPr>
            <w:tcW w:w="2362"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kern w:val="2"/>
                <w:sz w:val="20"/>
                <w:szCs w:val="20"/>
                <w:lang w:eastAsia="zh-CN"/>
              </w:rPr>
            </w:pPr>
            <w:r>
              <w:rPr>
                <w:rFonts w:ascii="宋体" w:hAnsi="宋体" w:cs="宋体"/>
                <w:color w:val="000000"/>
                <w:sz w:val="20"/>
                <w:szCs w:val="20"/>
                <w:lang w:eastAsia="zh-CN"/>
              </w:rPr>
              <w:t>1.</w:t>
            </w:r>
            <w:r>
              <w:rPr>
                <w:rFonts w:hint="eastAsia" w:ascii="宋体" w:hAnsi="宋体" w:eastAsia="宋体" w:cs="宋体"/>
                <w:color w:val="000000"/>
                <w:sz w:val="20"/>
                <w:szCs w:val="20"/>
                <w:lang w:eastAsia="zh-CN"/>
              </w:rPr>
              <w:t>开展“双随机、一公开”监管，发现违法违规行为的要依法查处并公开结果。</w:t>
            </w:r>
            <w:r>
              <w:rPr>
                <w:rFonts w:ascii="宋体" w:hAnsi="宋体" w:cs="宋体"/>
                <w:color w:val="000000"/>
                <w:sz w:val="20"/>
                <w:szCs w:val="20"/>
                <w:lang w:eastAsia="zh-CN"/>
              </w:rPr>
              <w:t>2.</w:t>
            </w:r>
            <w:r>
              <w:rPr>
                <w:rFonts w:hint="eastAsia" w:ascii="宋体" w:hAnsi="宋体" w:eastAsia="宋体" w:cs="宋体"/>
                <w:color w:val="000000"/>
                <w:sz w:val="20"/>
                <w:szCs w:val="20"/>
                <w:lang w:eastAsia="zh-CN"/>
              </w:rPr>
              <w:t>对通过投诉举报等渠道反映问题多的机构实施重点监管。</w:t>
            </w:r>
            <w:r>
              <w:rPr>
                <w:rFonts w:ascii="宋体" w:hAnsi="宋体" w:cs="宋体"/>
                <w:color w:val="000000"/>
                <w:sz w:val="20"/>
                <w:szCs w:val="20"/>
                <w:lang w:eastAsia="zh-CN"/>
              </w:rPr>
              <w:t>3.</w:t>
            </w:r>
            <w:r>
              <w:rPr>
                <w:rFonts w:hint="eastAsia" w:ascii="宋体" w:hAnsi="宋体" w:eastAsia="宋体" w:cs="宋体"/>
                <w:color w:val="000000"/>
                <w:sz w:val="20"/>
                <w:szCs w:val="20"/>
                <w:lang w:eastAsia="zh-CN"/>
              </w:rPr>
              <w:t>加强信用监管，向社会公布法定计量检定机构信用状况，对失信主体开展联合惩戒。</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kern w:val="2"/>
                <w:sz w:val="20"/>
                <w:szCs w:val="20"/>
                <w:lang w:eastAsia="zh-CN"/>
              </w:rPr>
            </w:pPr>
          </w:p>
        </w:tc>
      </w:tr>
      <w:tr>
        <w:tblPrEx>
          <w:tblCellMar>
            <w:top w:w="15" w:type="dxa"/>
            <w:left w:w="15" w:type="dxa"/>
            <w:bottom w:w="15" w:type="dxa"/>
            <w:right w:w="15" w:type="dxa"/>
          </w:tblCellMar>
        </w:tblPrEx>
        <w:trPr>
          <w:trHeight w:val="2095"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ascii="宋体" w:hAnsi="宋体" w:cs="宋体"/>
                <w:color w:val="000000"/>
                <w:sz w:val="20"/>
                <w:szCs w:val="20"/>
                <w:lang w:eastAsia="zh-CN"/>
              </w:rPr>
              <w:t>7</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市场监管总局</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广告发布登记</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关于准予广告发布登记的通知书</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广告发布登记</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广东省市场监督管理局</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《中华人民共和国广告法》</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县级以上地方市场监管部门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kern w:val="2"/>
                <w:sz w:val="20"/>
                <w:szCs w:val="20"/>
                <w:lang w:eastAsia="zh-CN"/>
              </w:rPr>
            </w:pPr>
          </w:p>
        </w:tc>
        <w:tc>
          <w:tcPr>
            <w:tcW w:w="651"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kern w:val="2"/>
                <w:sz w:val="20"/>
                <w:szCs w:val="20"/>
                <w:lang w:eastAsia="zh-CN"/>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kern w:val="2"/>
                <w:sz w:val="20"/>
                <w:szCs w:val="20"/>
                <w:lang w:eastAsia="zh-CN"/>
              </w:rPr>
            </w:pP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kern w:val="2"/>
                <w:sz w:val="20"/>
                <w:szCs w:val="20"/>
                <w:lang w:eastAsia="zh-CN"/>
              </w:rPr>
            </w:pPr>
            <w:r>
              <w:rPr>
                <w:rFonts w:hint="eastAsia" w:ascii="宋体" w:hAnsi="宋体" w:eastAsia="宋体" w:cs="宋体"/>
                <w:color w:val="000000"/>
                <w:sz w:val="20"/>
                <w:szCs w:val="20"/>
                <w:lang w:eastAsia="zh-CN"/>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kern w:val="2"/>
                <w:sz w:val="20"/>
                <w:szCs w:val="20"/>
                <w:lang w:eastAsia="zh-CN"/>
              </w:rPr>
            </w:pPr>
            <w:r>
              <w:rPr>
                <w:rFonts w:ascii="宋体" w:hAnsi="宋体" w:cs="宋体"/>
                <w:color w:val="000000"/>
                <w:sz w:val="20"/>
                <w:szCs w:val="20"/>
                <w:lang w:eastAsia="zh-CN"/>
              </w:rPr>
              <w:t>1.</w:t>
            </w:r>
            <w:r>
              <w:rPr>
                <w:rFonts w:hint="eastAsia" w:ascii="宋体" w:hAnsi="宋体" w:eastAsia="宋体" w:cs="宋体"/>
                <w:color w:val="000000"/>
                <w:sz w:val="20"/>
                <w:szCs w:val="20"/>
                <w:lang w:eastAsia="zh-CN"/>
              </w:rPr>
              <w:t>推动实现广告发布登记申请、审批等全程网上办理。</w:t>
            </w:r>
            <w:r>
              <w:rPr>
                <w:rFonts w:ascii="宋体" w:hAnsi="宋体" w:cs="宋体"/>
                <w:color w:val="000000"/>
                <w:sz w:val="20"/>
                <w:szCs w:val="20"/>
                <w:lang w:eastAsia="zh-CN"/>
              </w:rPr>
              <w:t>2.</w:t>
            </w:r>
            <w:r>
              <w:rPr>
                <w:rFonts w:hint="eastAsia" w:ascii="宋体" w:hAnsi="宋体" w:eastAsia="宋体" w:cs="宋体"/>
                <w:color w:val="000000"/>
                <w:sz w:val="20"/>
                <w:szCs w:val="20"/>
                <w:lang w:eastAsia="zh-CN"/>
              </w:rPr>
              <w:t>不再要求申请人提供广告业务机构证明文件及负责人任命文件、广告从业人员和广告审查人员证明文件、场所使用证明等材料。</w:t>
            </w:r>
          </w:p>
        </w:tc>
        <w:tc>
          <w:tcPr>
            <w:tcW w:w="2362"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kern w:val="2"/>
                <w:sz w:val="20"/>
                <w:szCs w:val="20"/>
                <w:lang w:eastAsia="zh-CN"/>
              </w:rPr>
            </w:pPr>
            <w:r>
              <w:rPr>
                <w:rFonts w:ascii="宋体" w:hAnsi="宋体" w:cs="宋体"/>
                <w:color w:val="000000"/>
                <w:sz w:val="20"/>
                <w:szCs w:val="20"/>
                <w:lang w:eastAsia="zh-CN"/>
              </w:rPr>
              <w:t>1.</w:t>
            </w:r>
            <w:r>
              <w:rPr>
                <w:rFonts w:hint="eastAsia" w:ascii="宋体" w:hAnsi="宋体" w:eastAsia="宋体" w:cs="宋体"/>
                <w:color w:val="000000"/>
                <w:sz w:val="20"/>
                <w:szCs w:val="20"/>
                <w:lang w:eastAsia="zh-CN"/>
              </w:rPr>
              <w:t>加大广告监测力度，发现广告发布机构发布虚假违法广告的要依法查处。</w:t>
            </w:r>
            <w:r>
              <w:rPr>
                <w:rFonts w:ascii="宋体" w:hAnsi="宋体" w:cs="宋体"/>
                <w:color w:val="000000"/>
                <w:sz w:val="20"/>
                <w:szCs w:val="20"/>
                <w:lang w:eastAsia="zh-CN"/>
              </w:rPr>
              <w:t>2.</w:t>
            </w:r>
            <w:r>
              <w:rPr>
                <w:rFonts w:hint="eastAsia" w:ascii="宋体" w:hAnsi="宋体" w:eastAsia="宋体" w:cs="宋体"/>
                <w:color w:val="000000"/>
                <w:sz w:val="20"/>
                <w:szCs w:val="20"/>
                <w:lang w:eastAsia="zh-CN"/>
              </w:rPr>
              <w:t>加强协同监管，进一步发挥整治虚假违法广告部际联席会议作用，联合有关部门共同做好广告发布机构的监管工作。</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kern w:val="2"/>
                <w:sz w:val="20"/>
                <w:szCs w:val="20"/>
                <w:lang w:eastAsia="zh-CN"/>
              </w:rPr>
            </w:pPr>
          </w:p>
        </w:tc>
      </w:tr>
      <w:tr>
        <w:tblPrEx>
          <w:tblCellMar>
            <w:top w:w="15" w:type="dxa"/>
            <w:left w:w="15" w:type="dxa"/>
            <w:bottom w:w="15" w:type="dxa"/>
            <w:right w:w="15" w:type="dxa"/>
          </w:tblCellMar>
        </w:tblPrEx>
        <w:trPr>
          <w:trHeight w:val="1440"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ascii="宋体" w:hAnsi="宋体" w:cs="宋体"/>
                <w:color w:val="000000"/>
                <w:sz w:val="20"/>
                <w:szCs w:val="20"/>
                <w:lang w:eastAsia="zh-CN"/>
              </w:rPr>
              <w:t>8</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市场监管总局</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食品经营许可（除仅销售预包装食品外）</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食品经营许可证</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食品经营许可</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广东省市场监督管理局</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《中华人民共和国食品安全法》</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县级以上地方市场监管部门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1"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ascii="宋体" w:hAnsi="宋体" w:cs="宋体"/>
                <w:color w:val="000000"/>
                <w:sz w:val="20"/>
                <w:szCs w:val="20"/>
                <w:lang w:eastAsia="zh-CN"/>
              </w:rPr>
              <w:t>1.</w:t>
            </w:r>
            <w:r>
              <w:rPr>
                <w:rFonts w:hint="eastAsia" w:ascii="宋体" w:hAnsi="宋体" w:eastAsia="宋体" w:cs="宋体"/>
                <w:color w:val="000000"/>
                <w:sz w:val="20"/>
                <w:szCs w:val="20"/>
                <w:lang w:eastAsia="zh-CN"/>
              </w:rPr>
              <w:t>餐饮服务经营者销售预包装食品的，不需要申请在许可证上标注销售类食品经营项目。</w:t>
            </w:r>
            <w:r>
              <w:rPr>
                <w:rFonts w:ascii="宋体" w:hAnsi="宋体" w:cs="宋体"/>
                <w:color w:val="000000"/>
                <w:sz w:val="20"/>
                <w:szCs w:val="20"/>
                <w:lang w:eastAsia="zh-CN"/>
              </w:rPr>
              <w:t>2.</w:t>
            </w:r>
            <w:r>
              <w:rPr>
                <w:rFonts w:hint="eastAsia" w:ascii="宋体" w:hAnsi="宋体" w:eastAsia="宋体" w:cs="宋体"/>
                <w:color w:val="000000"/>
                <w:sz w:val="20"/>
                <w:szCs w:val="20"/>
                <w:lang w:eastAsia="zh-CN"/>
              </w:rPr>
              <w:t>不再要求申请人提供营业执照复印件等材料。</w:t>
            </w:r>
          </w:p>
        </w:tc>
        <w:tc>
          <w:tcPr>
            <w:tcW w:w="2362"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ascii="宋体" w:hAnsi="宋体" w:cs="宋体"/>
                <w:color w:val="000000"/>
                <w:sz w:val="20"/>
                <w:szCs w:val="20"/>
                <w:lang w:eastAsia="zh-CN"/>
              </w:rPr>
              <w:t>1.</w:t>
            </w:r>
            <w:r>
              <w:rPr>
                <w:rFonts w:hint="eastAsia" w:ascii="宋体" w:hAnsi="宋体" w:eastAsia="宋体" w:cs="宋体"/>
                <w:color w:val="000000"/>
                <w:sz w:val="20"/>
                <w:szCs w:val="20"/>
                <w:lang w:eastAsia="zh-CN"/>
              </w:rPr>
              <w:t>严格执行有关法律法规和标准，开展“双随机、一公开”监管，发挥网格化管理的优势，发现违法违规行为的要依法严查重处并公开结果。</w:t>
            </w:r>
            <w:r>
              <w:rPr>
                <w:rFonts w:ascii="宋体" w:hAnsi="宋体" w:cs="宋体"/>
                <w:color w:val="000000"/>
                <w:sz w:val="20"/>
                <w:szCs w:val="20"/>
                <w:lang w:eastAsia="zh-CN"/>
              </w:rPr>
              <w:t>2.</w:t>
            </w:r>
            <w:r>
              <w:rPr>
                <w:rFonts w:hint="eastAsia" w:ascii="宋体" w:hAnsi="宋体" w:eastAsia="宋体" w:cs="宋体"/>
                <w:color w:val="000000"/>
                <w:sz w:val="20"/>
                <w:szCs w:val="20"/>
                <w:lang w:eastAsia="zh-CN"/>
              </w:rPr>
              <w:t>加强信用监管，向社会公布食品经营企业信用状况，对失信主体开展联合惩戒。</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r>
    </w:tbl>
    <w:p>
      <w:pPr>
        <w:rPr>
          <w:rFonts w:cs="Times New Roman"/>
          <w:lang w:eastAsia="zh-CN"/>
        </w:rPr>
      </w:pPr>
    </w:p>
    <w:tbl>
      <w:tblPr>
        <w:tblStyle w:val="7"/>
        <w:tblW w:w="0" w:type="auto"/>
        <w:jc w:val="center"/>
        <w:tblLayout w:type="fixed"/>
        <w:tblCellMar>
          <w:top w:w="15" w:type="dxa"/>
          <w:left w:w="15" w:type="dxa"/>
          <w:bottom w:w="15" w:type="dxa"/>
          <w:right w:w="15" w:type="dxa"/>
        </w:tblCellMar>
      </w:tblPr>
      <w:tblGrid>
        <w:gridCol w:w="403"/>
        <w:gridCol w:w="969"/>
        <w:gridCol w:w="1056"/>
        <w:gridCol w:w="961"/>
        <w:gridCol w:w="1009"/>
        <w:gridCol w:w="1011"/>
        <w:gridCol w:w="939"/>
        <w:gridCol w:w="651"/>
        <w:gridCol w:w="650"/>
        <w:gridCol w:w="651"/>
        <w:gridCol w:w="650"/>
        <w:gridCol w:w="649"/>
        <w:gridCol w:w="2129"/>
        <w:gridCol w:w="2362"/>
        <w:gridCol w:w="650"/>
      </w:tblGrid>
      <w:tr>
        <w:tblPrEx>
          <w:tblCellMar>
            <w:top w:w="15" w:type="dxa"/>
            <w:left w:w="15" w:type="dxa"/>
            <w:bottom w:w="15" w:type="dxa"/>
            <w:right w:w="15" w:type="dxa"/>
          </w:tblCellMar>
        </w:tblPrEx>
        <w:trPr>
          <w:trHeight w:val="315" w:hRule="atLeast"/>
          <w:tblHeader/>
          <w:jc w:val="center"/>
        </w:trPr>
        <w:tc>
          <w:tcPr>
            <w:tcW w:w="403"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序号</w:t>
            </w: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国家主管部门</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改革事项</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lang w:eastAsia="zh-CN"/>
              </w:rPr>
            </w:pPr>
            <w:r>
              <w:rPr>
                <w:rFonts w:hint="eastAsia" w:ascii="黑体" w:hAnsi="黑体" w:eastAsia="黑体" w:cs="黑体"/>
                <w:color w:val="000000"/>
                <w:sz w:val="20"/>
                <w:szCs w:val="20"/>
                <w:lang w:eastAsia="zh-CN"/>
              </w:rPr>
              <w:t>许可证件</w:t>
            </w:r>
          </w:p>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名称</w:t>
            </w:r>
          </w:p>
        </w:tc>
        <w:tc>
          <w:tcPr>
            <w:tcW w:w="100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省级事项名称</w:t>
            </w:r>
          </w:p>
        </w:tc>
        <w:tc>
          <w:tcPr>
            <w:tcW w:w="1011"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省级主管部门</w:t>
            </w:r>
          </w:p>
        </w:tc>
        <w:tc>
          <w:tcPr>
            <w:tcW w:w="93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设定依据</w:t>
            </w:r>
          </w:p>
        </w:tc>
        <w:tc>
          <w:tcPr>
            <w:tcW w:w="651"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审批层级和部门</w:t>
            </w:r>
          </w:p>
        </w:tc>
        <w:tc>
          <w:tcPr>
            <w:tcW w:w="260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改革方式</w:t>
            </w:r>
          </w:p>
        </w:tc>
        <w:tc>
          <w:tcPr>
            <w:tcW w:w="212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具体改革举措</w:t>
            </w:r>
          </w:p>
        </w:tc>
        <w:tc>
          <w:tcPr>
            <w:tcW w:w="2362"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lang w:eastAsia="zh-CN"/>
              </w:rPr>
            </w:pPr>
            <w:r>
              <w:rPr>
                <w:rFonts w:hint="eastAsia" w:ascii="黑体" w:hAnsi="黑体" w:eastAsia="黑体" w:cs="黑体"/>
                <w:color w:val="000000"/>
                <w:sz w:val="20"/>
                <w:szCs w:val="20"/>
                <w:lang w:eastAsia="zh-CN"/>
              </w:rPr>
              <w:t>加强事中事后监管措施</w:t>
            </w:r>
          </w:p>
        </w:tc>
        <w:tc>
          <w:tcPr>
            <w:tcW w:w="65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备注</w:t>
            </w:r>
          </w:p>
        </w:tc>
      </w:tr>
      <w:tr>
        <w:tblPrEx>
          <w:tblCellMar>
            <w:top w:w="15" w:type="dxa"/>
            <w:left w:w="15" w:type="dxa"/>
            <w:bottom w:w="15" w:type="dxa"/>
            <w:right w:w="15" w:type="dxa"/>
          </w:tblCellMar>
        </w:tblPrEx>
        <w:trPr>
          <w:trHeight w:val="960" w:hRule="atLeast"/>
          <w:tblHeader/>
          <w:jc w:val="center"/>
        </w:trPr>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c>
          <w:tcPr>
            <w:tcW w:w="100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直接</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取消</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审批</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审批</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改为</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备案</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实行</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告知</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承诺</w:t>
            </w: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黑体" w:hAnsi="黑体" w:eastAsia="黑体" w:cs="Times New Roman"/>
                <w:color w:val="000000"/>
                <w:sz w:val="20"/>
                <w:szCs w:val="20"/>
              </w:rPr>
            </w:pPr>
            <w:r>
              <w:rPr>
                <w:rFonts w:hint="eastAsia" w:ascii="黑体" w:hAnsi="黑体" w:eastAsia="黑体" w:cs="黑体"/>
                <w:color w:val="000000"/>
                <w:sz w:val="20"/>
                <w:szCs w:val="20"/>
                <w:lang w:eastAsia="zh-CN"/>
              </w:rPr>
              <w:t>优化</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审批</w:t>
            </w:r>
            <w:r>
              <w:rPr>
                <w:rFonts w:ascii="黑体" w:hAnsi="黑体" w:eastAsia="黑体" w:cs="Times New Roman"/>
                <w:color w:val="000000"/>
                <w:sz w:val="20"/>
                <w:szCs w:val="20"/>
                <w:lang w:eastAsia="zh-CN"/>
              </w:rPr>
              <w:br w:type="textWrapping"/>
            </w:r>
            <w:r>
              <w:rPr>
                <w:rFonts w:hint="eastAsia" w:ascii="黑体" w:hAnsi="黑体" w:eastAsia="黑体" w:cs="黑体"/>
                <w:color w:val="000000"/>
                <w:sz w:val="20"/>
                <w:szCs w:val="20"/>
                <w:lang w:eastAsia="zh-CN"/>
              </w:rPr>
              <w:t>服务</w:t>
            </w:r>
          </w:p>
        </w:tc>
        <w:tc>
          <w:tcPr>
            <w:tcW w:w="2129"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c>
          <w:tcPr>
            <w:tcW w:w="2362"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b/>
                <w:bCs/>
                <w:color w:val="000000"/>
                <w:sz w:val="20"/>
                <w:szCs w:val="20"/>
              </w:rPr>
            </w:pPr>
          </w:p>
        </w:tc>
      </w:tr>
      <w:tr>
        <w:tblPrEx>
          <w:tblCellMar>
            <w:top w:w="15" w:type="dxa"/>
            <w:left w:w="15" w:type="dxa"/>
            <w:bottom w:w="15" w:type="dxa"/>
            <w:right w:w="15" w:type="dxa"/>
          </w:tblCellMar>
        </w:tblPrEx>
        <w:trPr>
          <w:trHeight w:val="90"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rPr>
            </w:pPr>
            <w:r>
              <w:rPr>
                <w:rFonts w:ascii="宋体" w:hAnsi="宋体" w:cs="宋体"/>
                <w:color w:val="000000"/>
                <w:sz w:val="20"/>
                <w:szCs w:val="20"/>
                <w:lang w:eastAsia="zh-CN"/>
              </w:rPr>
              <w:t>9</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市场监管总局</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食品经营许可（仅销售预包装食品）</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食品经营许可证</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食品经营许可</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广东省市场监督管理局</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《中华人民共和国食品安全法》</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县级以上地方市场监管部门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color w:val="000000"/>
                <w:sz w:val="20"/>
                <w:szCs w:val="20"/>
                <w:lang w:eastAsia="zh-CN"/>
              </w:rPr>
            </w:pP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lang w:eastAsia="zh-CN"/>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w:t>
            </w: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rPr>
            </w:pPr>
          </w:p>
        </w:tc>
        <w:tc>
          <w:tcPr>
            <w:tcW w:w="2129"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0"/>
                <w:szCs w:val="20"/>
                <w:lang w:eastAsia="zh-CN"/>
              </w:rPr>
            </w:pPr>
            <w:r>
              <w:rPr>
                <w:rFonts w:hint="eastAsia" w:ascii="宋体" w:hAnsi="宋体" w:eastAsia="宋体" w:cs="宋体"/>
                <w:sz w:val="20"/>
                <w:szCs w:val="20"/>
                <w:lang w:eastAsia="zh-CN"/>
              </w:rPr>
              <w:t>对申请人符合《广东省市场监督管理局关于印发食品经营许可的实施细则（试行）的通知</w:t>
            </w:r>
          </w:p>
          <w:p>
            <w:pPr>
              <w:jc w:val="both"/>
              <w:rPr>
                <w:rFonts w:ascii="宋体" w:hAnsi="宋体" w:eastAsia="宋体" w:cs="Times New Roman"/>
                <w:color w:val="000000"/>
                <w:szCs w:val="20"/>
                <w:lang w:eastAsia="zh-CN"/>
              </w:rPr>
            </w:pPr>
            <w:r>
              <w:rPr>
                <w:rFonts w:hint="eastAsia" w:ascii="宋体" w:hAnsi="宋体" w:eastAsia="宋体" w:cs="宋体"/>
                <w:sz w:val="20"/>
                <w:szCs w:val="20"/>
                <w:lang w:eastAsia="zh-CN"/>
              </w:rPr>
              <w:t>》粤市监规字〔2019〕2号文件要求的，并作出告知承诺的，经形式审查后作出审批决定。</w:t>
            </w:r>
          </w:p>
        </w:tc>
        <w:tc>
          <w:tcPr>
            <w:tcW w:w="2362"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textAlignment w:val="center"/>
              <w:rPr>
                <w:rFonts w:ascii="宋体" w:hAnsi="宋体" w:eastAsia="宋体" w:cs="宋体"/>
                <w:color w:val="000000"/>
                <w:sz w:val="20"/>
                <w:szCs w:val="20"/>
                <w:lang w:eastAsia="zh-CN"/>
              </w:rPr>
            </w:pPr>
          </w:p>
          <w:p>
            <w:pPr>
              <w:widowControl/>
              <w:numPr>
                <w:ilvl w:val="0"/>
                <w:numId w:val="1"/>
              </w:numPr>
              <w:autoSpaceDE/>
              <w:autoSpaceDN/>
              <w:spacing w:line="260" w:lineRule="exact"/>
              <w:textAlignment w:val="center"/>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rPr>
              <w:t>对吿知承诺企业加强监督检查，重点检查吿知承诺信息与实际情况是否相符、吿知承诺企业是否经营预包装食品以外的其他食品，依法严厉打击违规经营行为。2.将虚假吿知承诺、违规经营等信息记入企业食品安全信用记录，对失信主体开展联合惩戒。3.畅通投诉举报渠道，强化社会监督。</w:t>
            </w:r>
          </w:p>
          <w:p>
            <w:pPr>
              <w:widowControl/>
              <w:autoSpaceDE/>
              <w:autoSpaceDN/>
              <w:spacing w:line="260" w:lineRule="exact"/>
              <w:textAlignment w:val="center"/>
              <w:rPr>
                <w:rFonts w:ascii="宋体" w:hAnsi="宋体" w:eastAsia="宋体" w:cs="宋体"/>
                <w:color w:val="000000"/>
                <w:sz w:val="20"/>
                <w:szCs w:val="20"/>
              </w:rPr>
            </w:pPr>
          </w:p>
          <w:p>
            <w:pPr>
              <w:widowControl/>
              <w:autoSpaceDE/>
              <w:autoSpaceDN/>
              <w:spacing w:line="260" w:lineRule="exact"/>
              <w:textAlignment w:val="center"/>
              <w:rPr>
                <w:rFonts w:ascii="宋体" w:hAnsi="宋体" w:eastAsia="宋体" w:cs="宋体"/>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宋体"/>
                <w:color w:val="000000"/>
                <w:sz w:val="20"/>
                <w:szCs w:val="20"/>
              </w:rPr>
            </w:pPr>
          </w:p>
        </w:tc>
      </w:tr>
      <w:tr>
        <w:tblPrEx>
          <w:tblCellMar>
            <w:top w:w="15" w:type="dxa"/>
            <w:left w:w="15" w:type="dxa"/>
            <w:bottom w:w="15" w:type="dxa"/>
            <w:right w:w="15" w:type="dxa"/>
          </w:tblCellMar>
        </w:tblPrEx>
        <w:trPr>
          <w:trHeight w:val="2611"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themeColor="text1"/>
                <w:sz w:val="20"/>
                <w:szCs w:val="20"/>
              </w:rPr>
            </w:pPr>
            <w:r>
              <w:rPr>
                <w:rFonts w:ascii="宋体" w:hAnsi="宋体" w:cs="宋体"/>
                <w:color w:val="000000" w:themeColor="text1"/>
                <w:sz w:val="20"/>
                <w:szCs w:val="20"/>
                <w:lang w:eastAsia="zh-CN"/>
              </w:rPr>
              <w:t>10</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themeColor="text1"/>
                <w:sz w:val="20"/>
                <w:szCs w:val="20"/>
              </w:rPr>
            </w:pPr>
            <w:r>
              <w:rPr>
                <w:rFonts w:hint="eastAsia" w:ascii="宋体" w:hAnsi="宋体" w:eastAsia="宋体" w:cs="宋体"/>
                <w:color w:val="000000" w:themeColor="text1"/>
                <w:sz w:val="20"/>
                <w:szCs w:val="20"/>
                <w:lang w:eastAsia="zh-CN"/>
              </w:rPr>
              <w:t>市场监管总局</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themeColor="text1"/>
                <w:sz w:val="20"/>
                <w:szCs w:val="20"/>
                <w:lang w:eastAsia="zh-CN"/>
              </w:rPr>
            </w:pPr>
            <w:r>
              <w:rPr>
                <w:rFonts w:hint="eastAsia" w:ascii="宋体" w:hAnsi="宋体" w:eastAsia="宋体" w:cs="宋体"/>
                <w:color w:val="000000" w:themeColor="text1"/>
                <w:sz w:val="20"/>
                <w:szCs w:val="20"/>
                <w:lang w:eastAsia="zh-CN"/>
              </w:rPr>
              <w:t>重要工业产品（除食品相关产品外）生产许可证核发</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themeColor="text1"/>
                <w:sz w:val="20"/>
                <w:szCs w:val="20"/>
                <w:lang w:eastAsia="zh-CN"/>
              </w:rPr>
            </w:pPr>
            <w:r>
              <w:rPr>
                <w:rFonts w:hint="eastAsia" w:ascii="宋体" w:hAnsi="宋体" w:eastAsia="宋体" w:cs="宋体"/>
                <w:color w:val="000000" w:themeColor="text1"/>
                <w:sz w:val="20"/>
                <w:szCs w:val="20"/>
                <w:lang w:eastAsia="zh-CN"/>
              </w:rPr>
              <w:t>重要工业产品生产许可证</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themeColor="text1"/>
                <w:sz w:val="20"/>
                <w:szCs w:val="20"/>
                <w:lang w:eastAsia="zh-CN"/>
              </w:rPr>
            </w:pPr>
            <w:r>
              <w:rPr>
                <w:rFonts w:hint="eastAsia" w:ascii="宋体" w:hAnsi="宋体" w:eastAsia="宋体" w:cs="宋体"/>
                <w:color w:val="000000" w:themeColor="text1"/>
                <w:sz w:val="20"/>
                <w:szCs w:val="20"/>
                <w:lang w:eastAsia="zh-CN"/>
              </w:rPr>
              <w:t>工业产品生产许可证核发</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themeColor="text1"/>
                <w:sz w:val="20"/>
                <w:szCs w:val="20"/>
                <w:lang w:eastAsia="zh-CN"/>
              </w:rPr>
            </w:pPr>
            <w:r>
              <w:rPr>
                <w:rFonts w:hint="eastAsia" w:ascii="宋体" w:hAnsi="宋体" w:eastAsia="宋体" w:cs="宋体"/>
                <w:color w:val="000000" w:themeColor="text1"/>
                <w:sz w:val="20"/>
                <w:szCs w:val="20"/>
                <w:lang w:eastAsia="zh-CN"/>
              </w:rPr>
              <w:t>广东省市场监督管理局</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themeColor="text1"/>
                <w:sz w:val="20"/>
                <w:szCs w:val="20"/>
                <w:lang w:eastAsia="zh-CN"/>
              </w:rPr>
            </w:pPr>
            <w:r>
              <w:rPr>
                <w:rFonts w:hint="eastAsia" w:ascii="宋体" w:hAnsi="宋体" w:eastAsia="宋体" w:cs="宋体"/>
                <w:color w:val="000000" w:themeColor="text1"/>
                <w:sz w:val="20"/>
                <w:szCs w:val="20"/>
                <w:lang w:eastAsia="zh-CN"/>
              </w:rPr>
              <w:t>《中华人民共和国工业产品生产许可证管理条例》</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themeColor="text1"/>
                <w:sz w:val="20"/>
                <w:szCs w:val="20"/>
              </w:rPr>
            </w:pPr>
            <w:r>
              <w:rPr>
                <w:rFonts w:hint="eastAsia" w:ascii="宋体" w:hAnsi="宋体" w:eastAsia="宋体" w:cs="宋体"/>
                <w:color w:val="000000" w:themeColor="text1"/>
                <w:sz w:val="20"/>
                <w:szCs w:val="20"/>
                <w:lang w:eastAsia="zh-CN"/>
              </w:rPr>
              <w:t>市级市场监管部门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color w:val="000000" w:themeColor="text1"/>
                <w:sz w:val="20"/>
                <w:szCs w:val="20"/>
              </w:rPr>
            </w:pPr>
          </w:p>
        </w:tc>
        <w:tc>
          <w:tcPr>
            <w:tcW w:w="651"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color w:val="000000" w:themeColor="text1"/>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color w:val="000000" w:themeColor="text1"/>
                <w:sz w:val="20"/>
                <w:szCs w:val="20"/>
              </w:rPr>
            </w:pPr>
            <w:r>
              <w:rPr>
                <w:rFonts w:hint="eastAsia" w:ascii="宋体" w:hAnsi="宋体" w:eastAsia="宋体" w:cs="宋体"/>
                <w:color w:val="000000" w:themeColor="text1"/>
                <w:sz w:val="20"/>
                <w:szCs w:val="20"/>
                <w:lang w:eastAsia="zh-CN"/>
              </w:rPr>
              <w:t>√</w:t>
            </w: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themeColor="text1"/>
                <w:sz w:val="20"/>
                <w:szCs w:val="20"/>
              </w:rPr>
            </w:pPr>
            <w:r>
              <w:rPr>
                <w:rFonts w:hint="eastAsia" w:ascii="宋体" w:hAnsi="宋体" w:eastAsia="宋体" w:cs="宋体"/>
                <w:color w:val="000000" w:themeColor="text1"/>
                <w:sz w:val="20"/>
                <w:szCs w:val="20"/>
                <w:lang w:eastAsia="zh-CN"/>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textAlignment w:val="center"/>
              <w:rPr>
                <w:rFonts w:ascii="宋体" w:hAnsi="宋体" w:eastAsia="宋体" w:cs="Times New Roman"/>
                <w:color w:val="000000" w:themeColor="text1"/>
                <w:sz w:val="20"/>
                <w:szCs w:val="20"/>
                <w:lang w:eastAsia="zh-CN"/>
              </w:rPr>
            </w:pPr>
            <w:r>
              <w:rPr>
                <w:rFonts w:hint="eastAsia" w:ascii="宋体" w:hAnsi="宋体" w:eastAsia="宋体" w:cs="Times New Roman"/>
                <w:color w:val="000000" w:themeColor="text1"/>
                <w:sz w:val="20"/>
                <w:szCs w:val="20"/>
                <w:lang w:eastAsia="zh-CN"/>
              </w:rPr>
              <w:t>市级两项工业产品生产许可证核发实行先证后核和</w:t>
            </w:r>
            <w:r>
              <w:rPr>
                <w:rFonts w:hint="eastAsia" w:ascii="宋体" w:hAnsi="宋体" w:eastAsia="宋体" w:cs="宋体"/>
                <w:color w:val="000000"/>
                <w:sz w:val="20"/>
                <w:szCs w:val="20"/>
                <w:lang w:eastAsia="zh-CN"/>
              </w:rPr>
              <w:t>吿知承诺。</w:t>
            </w:r>
          </w:p>
        </w:tc>
        <w:tc>
          <w:tcPr>
            <w:tcW w:w="2362"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宋体"/>
                <w:color w:val="000000" w:themeColor="text1"/>
                <w:sz w:val="20"/>
                <w:szCs w:val="20"/>
                <w:lang w:eastAsia="zh-CN"/>
              </w:rPr>
            </w:pPr>
            <w:r>
              <w:rPr>
                <w:rFonts w:hint="eastAsia" w:ascii="宋体" w:hAnsi="宋体" w:cs="宋体"/>
                <w:color w:val="000000" w:themeColor="text1"/>
                <w:sz w:val="20"/>
                <w:szCs w:val="20"/>
                <w:lang w:eastAsia="zh-CN"/>
              </w:rPr>
              <w:t>1.</w:t>
            </w:r>
            <w:r>
              <w:rPr>
                <w:rFonts w:hint="eastAsia" w:ascii="宋体" w:hAnsi="宋体" w:eastAsia="宋体" w:cs="宋体"/>
                <w:color w:val="000000" w:themeColor="text1"/>
                <w:sz w:val="20"/>
                <w:szCs w:val="20"/>
                <w:lang w:eastAsia="zh-CN"/>
              </w:rPr>
              <w:t>开展“双随机、一公开”监管，发现违法违规行为的要依法查处并公开结果。</w:t>
            </w:r>
            <w:r>
              <w:rPr>
                <w:rFonts w:hint="eastAsia" w:ascii="宋体" w:hAnsi="宋体" w:cs="宋体"/>
                <w:color w:val="000000" w:themeColor="text1"/>
                <w:sz w:val="20"/>
                <w:szCs w:val="20"/>
                <w:lang w:eastAsia="zh-CN"/>
              </w:rPr>
              <w:t>2.</w:t>
            </w:r>
            <w:r>
              <w:rPr>
                <w:rFonts w:hint="eastAsia" w:ascii="宋体" w:hAnsi="宋体" w:eastAsia="宋体" w:cs="宋体"/>
                <w:color w:val="000000" w:themeColor="text1"/>
                <w:sz w:val="20"/>
                <w:szCs w:val="20"/>
                <w:lang w:eastAsia="zh-CN"/>
              </w:rPr>
              <w:t>对通过投诉举报等渠道反映问题多的机构实施重点监管。</w:t>
            </w:r>
            <w:r>
              <w:rPr>
                <w:rFonts w:hint="eastAsia" w:ascii="宋体" w:hAnsi="宋体" w:cs="宋体"/>
                <w:color w:val="000000" w:themeColor="text1"/>
                <w:sz w:val="20"/>
                <w:szCs w:val="20"/>
                <w:lang w:eastAsia="zh-CN"/>
              </w:rPr>
              <w:t>3.</w:t>
            </w:r>
            <w:r>
              <w:rPr>
                <w:rFonts w:hint="eastAsia" w:ascii="宋体" w:hAnsi="宋体" w:eastAsia="宋体" w:cs="宋体"/>
                <w:color w:val="000000" w:themeColor="text1"/>
                <w:sz w:val="20"/>
                <w:szCs w:val="20"/>
                <w:lang w:eastAsia="zh-CN"/>
              </w:rPr>
              <w:t>加强信用监管，向社会公布法定计量检定机构信用状况，对失信主体开展联合惩戒。</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宋体"/>
                <w:color w:val="000000"/>
                <w:sz w:val="20"/>
                <w:szCs w:val="20"/>
                <w:lang w:eastAsia="zh-CN"/>
              </w:rPr>
            </w:pPr>
          </w:p>
        </w:tc>
      </w:tr>
      <w:tr>
        <w:tblPrEx>
          <w:tblCellMar>
            <w:top w:w="15" w:type="dxa"/>
            <w:left w:w="15" w:type="dxa"/>
            <w:bottom w:w="15" w:type="dxa"/>
            <w:right w:w="15" w:type="dxa"/>
          </w:tblCellMar>
        </w:tblPrEx>
        <w:trPr>
          <w:trHeight w:val="2640"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ascii="宋体" w:hAnsi="宋体" w:cs="宋体"/>
                <w:color w:val="000000"/>
                <w:sz w:val="20"/>
                <w:szCs w:val="20"/>
                <w:lang w:eastAsia="zh-CN"/>
              </w:rPr>
              <w:t>11</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国家药监局</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第二类精神药品零售业务审批</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批准文件，在药品经营许可证经营范围中注明</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特殊药品的购用、使用、经营、生产和邮寄、运输审批</w:t>
            </w: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广东省药品监督管理局</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《麻醉药品和精神药品管理条例》</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设区的市级市场监管部门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1"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不再要求申请人提供药品经营许可证、药品经营质量管理规（GSP） 证书等材料。</w:t>
            </w:r>
          </w:p>
        </w:tc>
        <w:tc>
          <w:tcPr>
            <w:tcW w:w="2362"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40" w:lineRule="exact"/>
              <w:textAlignment w:val="center"/>
              <w:rPr>
                <w:rFonts w:ascii="宋体" w:hAnsi="宋体" w:eastAsia="宋体" w:cs="Times New Roman"/>
                <w:color w:val="000000"/>
                <w:sz w:val="20"/>
                <w:szCs w:val="20"/>
                <w:lang w:eastAsia="zh-CN"/>
              </w:rPr>
            </w:pPr>
            <w:r>
              <w:rPr>
                <w:rFonts w:ascii="宋体" w:hAnsi="宋体" w:cs="宋体"/>
                <w:color w:val="000000"/>
                <w:sz w:val="20"/>
                <w:szCs w:val="20"/>
                <w:lang w:eastAsia="zh-CN"/>
              </w:rPr>
              <w:t>1.</w:t>
            </w:r>
            <w:r>
              <w:rPr>
                <w:rFonts w:hint="eastAsia" w:ascii="宋体" w:hAnsi="宋体" w:eastAsia="宋体" w:cs="宋体"/>
                <w:color w:val="000000"/>
                <w:sz w:val="20"/>
                <w:szCs w:val="20"/>
                <w:lang w:eastAsia="zh-CN"/>
              </w:rPr>
              <w:t>严格执行有关法律法规和规章，对特殊药品生产、经营企业加强监管。</w:t>
            </w:r>
            <w:r>
              <w:rPr>
                <w:rFonts w:ascii="宋体" w:hAnsi="宋体" w:cs="宋体"/>
                <w:color w:val="000000"/>
                <w:sz w:val="20"/>
                <w:szCs w:val="20"/>
                <w:lang w:eastAsia="zh-CN"/>
              </w:rPr>
              <w:t>2.</w:t>
            </w:r>
            <w:r>
              <w:rPr>
                <w:rFonts w:hint="eastAsia" w:ascii="宋体" w:hAnsi="宋体" w:eastAsia="宋体" w:cs="宋体"/>
                <w:color w:val="000000"/>
                <w:sz w:val="20"/>
                <w:szCs w:val="20"/>
                <w:lang w:eastAsia="zh-CN"/>
              </w:rPr>
              <w:t>实施重点监管，发现违法违规行为的要依法严查重处。</w:t>
            </w:r>
            <w:r>
              <w:rPr>
                <w:rFonts w:ascii="宋体" w:hAnsi="宋体" w:cs="宋体"/>
                <w:color w:val="000000"/>
                <w:sz w:val="20"/>
                <w:szCs w:val="20"/>
                <w:lang w:eastAsia="zh-CN"/>
              </w:rPr>
              <w:t>3.</w:t>
            </w:r>
            <w:r>
              <w:rPr>
                <w:rFonts w:hint="eastAsia" w:ascii="宋体" w:hAnsi="宋体" w:eastAsia="宋体" w:cs="宋体"/>
                <w:color w:val="000000"/>
                <w:sz w:val="20"/>
                <w:szCs w:val="20"/>
                <w:lang w:eastAsia="zh-CN"/>
              </w:rPr>
              <w:t>及时向社会公开许可信息，加强社会监督。</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40" w:lineRule="exact"/>
              <w:jc w:val="center"/>
              <w:rPr>
                <w:rFonts w:ascii="宋体" w:hAnsi="宋体" w:eastAsia="宋体" w:cs="Times New Roman"/>
                <w:color w:val="000000"/>
                <w:sz w:val="20"/>
                <w:szCs w:val="20"/>
                <w:lang w:eastAsia="zh-CN"/>
              </w:rPr>
            </w:pPr>
          </w:p>
        </w:tc>
      </w:tr>
      <w:tr>
        <w:tblPrEx>
          <w:tblCellMar>
            <w:top w:w="15" w:type="dxa"/>
            <w:left w:w="15" w:type="dxa"/>
            <w:bottom w:w="15" w:type="dxa"/>
            <w:right w:w="15" w:type="dxa"/>
          </w:tblCellMar>
        </w:tblPrEx>
        <w:trPr>
          <w:trHeight w:val="4070" w:hRule="atLeast"/>
          <w:jc w:val="center"/>
        </w:trPr>
        <w:tc>
          <w:tcPr>
            <w:tcW w:w="403"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rPr>
            </w:pPr>
            <w:r>
              <w:rPr>
                <w:rFonts w:ascii="宋体" w:hAnsi="宋体" w:cs="宋体"/>
                <w:color w:val="000000"/>
                <w:sz w:val="20"/>
                <w:szCs w:val="20"/>
                <w:lang w:eastAsia="zh-CN"/>
              </w:rPr>
              <w:t>12</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食品生产加工小作坊登记</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食品生产加工小作坊登记证</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lang w:eastAsia="zh-CN"/>
              </w:rPr>
            </w:pP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autoSpaceDE/>
              <w:autoSpaceDN/>
              <w:spacing w:line="26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广东省市场监督管理局</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《广东省食品生产加工小作坊和食品摊贩管理条例》（广东省第十二届人民代表大会常务委员公告第</w:t>
            </w:r>
            <w:r>
              <w:rPr>
                <w:rFonts w:ascii="宋体" w:hAnsi="宋体" w:eastAsia="宋体" w:cs="宋体"/>
                <w:color w:val="000000"/>
                <w:sz w:val="20"/>
                <w:szCs w:val="20"/>
                <w:lang w:eastAsia="zh-CN"/>
              </w:rPr>
              <w:t>38</w:t>
            </w:r>
            <w:r>
              <w:rPr>
                <w:rFonts w:hint="eastAsia" w:ascii="宋体" w:hAnsi="宋体" w:eastAsia="宋体" w:cs="宋体"/>
                <w:color w:val="000000"/>
                <w:sz w:val="20"/>
                <w:szCs w:val="20"/>
                <w:lang w:eastAsia="zh-CN"/>
              </w:rPr>
              <w:t>号）</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Times New Roman"/>
                <w:color w:val="000000"/>
                <w:sz w:val="20"/>
                <w:szCs w:val="20"/>
              </w:rPr>
            </w:pPr>
            <w:r>
              <w:rPr>
                <w:rFonts w:hint="eastAsia" w:ascii="宋体" w:hAnsi="宋体" w:eastAsia="宋体" w:cs="宋体"/>
                <w:sz w:val="20"/>
                <w:szCs w:val="20"/>
                <w:lang w:eastAsia="zh-CN"/>
              </w:rPr>
              <w:t>县级市场监管部门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color w:val="000000"/>
                <w:sz w:val="20"/>
                <w:szCs w:val="20"/>
              </w:rPr>
            </w:pPr>
          </w:p>
        </w:tc>
        <w:tc>
          <w:tcPr>
            <w:tcW w:w="651"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color w:val="000000"/>
                <w:sz w:val="20"/>
                <w:szCs w:val="20"/>
              </w:rPr>
            </w:pPr>
          </w:p>
        </w:tc>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宋体" w:hAnsi="宋体" w:eastAsia="宋体" w:cs="Times New Roman"/>
                <w:color w:val="000000"/>
                <w:sz w:val="20"/>
                <w:szCs w:val="20"/>
              </w:rPr>
            </w:pPr>
            <w:r>
              <w:rPr>
                <w:rFonts w:hint="eastAsia" w:ascii="宋体" w:hAnsi="宋体" w:eastAsia="宋体" w:cs="宋体"/>
                <w:color w:val="000000"/>
                <w:sz w:val="20"/>
                <w:szCs w:val="20"/>
                <w:lang w:eastAsia="zh-CN"/>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1</w:t>
            </w:r>
            <w:r>
              <w:rPr>
                <w:rFonts w:ascii="宋体" w:hAnsi="宋体" w:eastAsia="宋体" w:cs="宋体"/>
                <w:color w:val="000000"/>
                <w:sz w:val="20"/>
                <w:szCs w:val="20"/>
                <w:lang w:eastAsia="zh-CN"/>
              </w:rPr>
              <w:t>.</w:t>
            </w:r>
            <w:r>
              <w:rPr>
                <w:rFonts w:hint="eastAsia" w:ascii="宋体" w:hAnsi="宋体" w:eastAsia="宋体" w:cs="宋体"/>
                <w:color w:val="000000"/>
                <w:sz w:val="20"/>
                <w:szCs w:val="20"/>
                <w:lang w:eastAsia="zh-CN"/>
              </w:rPr>
              <w:t>完善食品小作坊登记制度，优化食品小作坊登记程序，精简申报材料、压缩工作时限。</w:t>
            </w:r>
          </w:p>
          <w:p>
            <w:pPr>
              <w:widowControl/>
              <w:spacing w:line="240" w:lineRule="exact"/>
              <w:textAlignment w:val="center"/>
              <w:rPr>
                <w:rFonts w:ascii="宋体" w:hAnsi="宋体" w:eastAsia="宋体" w:cs="Times New Roman"/>
                <w:color w:val="000000"/>
                <w:sz w:val="20"/>
                <w:szCs w:val="20"/>
                <w:lang w:eastAsia="zh-CN"/>
              </w:rPr>
            </w:pPr>
            <w:r>
              <w:rPr>
                <w:rFonts w:hint="eastAsia" w:ascii="宋体" w:hAnsi="宋体" w:eastAsia="宋体" w:cs="宋体"/>
                <w:color w:val="000000"/>
                <w:sz w:val="20"/>
                <w:szCs w:val="20"/>
                <w:lang w:eastAsia="zh-CN"/>
              </w:rPr>
              <w:t>2</w:t>
            </w:r>
            <w:r>
              <w:rPr>
                <w:rFonts w:ascii="宋体" w:hAnsi="宋体" w:eastAsia="宋体" w:cs="宋体"/>
                <w:color w:val="000000"/>
                <w:sz w:val="20"/>
                <w:szCs w:val="20"/>
                <w:lang w:eastAsia="zh-CN"/>
              </w:rPr>
              <w:t>.</w:t>
            </w:r>
            <w:r>
              <w:rPr>
                <w:rFonts w:hint="eastAsia" w:ascii="宋体" w:hAnsi="宋体" w:eastAsia="宋体" w:cs="宋体"/>
                <w:color w:val="000000"/>
                <w:sz w:val="20"/>
                <w:szCs w:val="20"/>
                <w:lang w:eastAsia="zh-CN"/>
              </w:rPr>
              <w:t>完善食品小作坊信息化管理，逐步推进食品小作坊登记全流程网上办理与电子登记证。</w:t>
            </w:r>
          </w:p>
        </w:tc>
        <w:tc>
          <w:tcPr>
            <w:tcW w:w="23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宋体" w:hAnsi="宋体" w:eastAsia="宋体" w:cs="宋体"/>
                <w:color w:val="000000"/>
                <w:sz w:val="20"/>
                <w:szCs w:val="20"/>
                <w:lang w:eastAsia="zh-CN"/>
              </w:rPr>
            </w:pPr>
            <w:r>
              <w:rPr>
                <w:rFonts w:ascii="宋体" w:hAnsi="宋体" w:eastAsia="宋体" w:cs="宋体"/>
                <w:color w:val="000000"/>
                <w:sz w:val="20"/>
                <w:szCs w:val="20"/>
                <w:lang w:eastAsia="zh-CN"/>
              </w:rPr>
              <w:t>1.</w:t>
            </w:r>
            <w:r>
              <w:rPr>
                <w:rFonts w:hint="eastAsia" w:ascii="宋体" w:hAnsi="宋体" w:eastAsia="宋体" w:cs="宋体"/>
                <w:color w:val="000000"/>
                <w:sz w:val="20"/>
                <w:szCs w:val="20"/>
                <w:lang w:eastAsia="zh-CN"/>
              </w:rPr>
              <w:t>建立食品小作坊禁止生产加工目录动态调整机制</w:t>
            </w:r>
          </w:p>
          <w:p>
            <w:pPr>
              <w:widowControl/>
              <w:spacing w:line="240" w:lineRule="exact"/>
              <w:textAlignment w:val="center"/>
              <w:rPr>
                <w:rFonts w:ascii="宋体" w:hAnsi="宋体" w:eastAsia="宋体" w:cs="宋体"/>
                <w:color w:val="000000"/>
                <w:sz w:val="20"/>
                <w:szCs w:val="20"/>
                <w:lang w:eastAsia="zh-CN"/>
              </w:rPr>
            </w:pPr>
            <w:r>
              <w:rPr>
                <w:rFonts w:ascii="宋体" w:hAnsi="宋体" w:eastAsia="宋体" w:cs="宋体"/>
                <w:color w:val="000000"/>
                <w:sz w:val="20"/>
                <w:szCs w:val="20"/>
                <w:lang w:eastAsia="zh-CN"/>
              </w:rPr>
              <w:t>2.</w:t>
            </w:r>
            <w:r>
              <w:rPr>
                <w:rFonts w:hint="eastAsia" w:ascii="宋体" w:hAnsi="宋体" w:eastAsia="宋体" w:cs="宋体"/>
                <w:color w:val="000000"/>
                <w:sz w:val="20"/>
                <w:szCs w:val="20"/>
                <w:lang w:eastAsia="zh-CN"/>
              </w:rPr>
              <w:t>建立推行食品小作坊监管与抽检计划向社会公示制度。</w:t>
            </w:r>
          </w:p>
          <w:p>
            <w:pPr>
              <w:widowControl/>
              <w:spacing w:line="240" w:lineRule="exact"/>
              <w:textAlignment w:val="center"/>
              <w:rPr>
                <w:rFonts w:ascii="宋体" w:hAnsi="宋体" w:eastAsia="宋体" w:cs="宋体"/>
                <w:color w:val="000000"/>
                <w:sz w:val="20"/>
                <w:szCs w:val="20"/>
                <w:lang w:eastAsia="zh-CN"/>
              </w:rPr>
            </w:pPr>
            <w:r>
              <w:rPr>
                <w:rFonts w:ascii="宋体" w:hAnsi="宋体" w:eastAsia="宋体" w:cs="宋体"/>
                <w:color w:val="000000"/>
                <w:sz w:val="20"/>
                <w:szCs w:val="20"/>
                <w:lang w:eastAsia="zh-CN"/>
              </w:rPr>
              <w:t>3.</w:t>
            </w:r>
            <w:r>
              <w:rPr>
                <w:rFonts w:hint="eastAsia" w:ascii="宋体" w:hAnsi="宋体" w:eastAsia="宋体" w:cs="宋体"/>
                <w:color w:val="000000"/>
                <w:sz w:val="20"/>
                <w:szCs w:val="20"/>
                <w:lang w:eastAsia="zh-CN"/>
              </w:rPr>
              <w:t>强化食品小作坊风险隐患排查。</w:t>
            </w:r>
            <w:r>
              <w:rPr>
                <w:rFonts w:ascii="宋体" w:hAnsi="宋体" w:eastAsia="宋体" w:cs="宋体"/>
                <w:color w:val="000000"/>
                <w:sz w:val="20"/>
                <w:szCs w:val="20"/>
                <w:lang w:eastAsia="zh-CN"/>
              </w:rPr>
              <w:t xml:space="preserve">                          4.</w:t>
            </w:r>
            <w:r>
              <w:rPr>
                <w:rFonts w:hint="eastAsia" w:ascii="宋体" w:hAnsi="宋体" w:eastAsia="宋体" w:cs="宋体"/>
                <w:color w:val="000000"/>
                <w:sz w:val="20"/>
                <w:szCs w:val="20"/>
                <w:lang w:eastAsia="zh-CN"/>
              </w:rPr>
              <w:t>实施食品小作坊风险分类管理。</w:t>
            </w:r>
            <w:r>
              <w:rPr>
                <w:rFonts w:ascii="宋体" w:hAnsi="宋体" w:eastAsia="宋体" w:cs="宋体"/>
                <w:color w:val="000000"/>
                <w:sz w:val="20"/>
                <w:szCs w:val="20"/>
                <w:lang w:eastAsia="zh-CN"/>
              </w:rPr>
              <w:t xml:space="preserve">                        5.</w:t>
            </w:r>
            <w:r>
              <w:rPr>
                <w:rFonts w:hint="eastAsia" w:ascii="宋体" w:hAnsi="宋体" w:eastAsia="宋体" w:cs="宋体"/>
                <w:color w:val="000000"/>
                <w:sz w:val="20"/>
                <w:szCs w:val="20"/>
                <w:lang w:eastAsia="zh-CN"/>
              </w:rPr>
              <w:t>严查食品小作坊违法违规行为。</w:t>
            </w:r>
            <w:r>
              <w:rPr>
                <w:rFonts w:ascii="宋体" w:hAnsi="宋体" w:eastAsia="宋体" w:cs="宋体"/>
                <w:color w:val="000000"/>
                <w:spacing w:val="-11"/>
                <w:sz w:val="20"/>
                <w:szCs w:val="20"/>
                <w:lang w:eastAsia="zh-CN"/>
              </w:rPr>
              <w:t>6.</w:t>
            </w:r>
            <w:r>
              <w:rPr>
                <w:rFonts w:hint="eastAsia" w:ascii="宋体" w:hAnsi="宋体" w:eastAsia="宋体" w:cs="宋体"/>
                <w:color w:val="000000"/>
                <w:spacing w:val="-11"/>
                <w:sz w:val="20"/>
                <w:szCs w:val="20"/>
                <w:lang w:eastAsia="zh-CN"/>
              </w:rPr>
              <w:t>强化食品小作坊规范指导。</w:t>
            </w:r>
          </w:p>
          <w:p>
            <w:pPr>
              <w:widowControl/>
              <w:spacing w:line="240" w:lineRule="exact"/>
              <w:textAlignment w:val="center"/>
              <w:rPr>
                <w:rFonts w:ascii="宋体" w:hAnsi="宋体" w:eastAsia="宋体" w:cs="Times New Roman"/>
                <w:color w:val="000000"/>
                <w:sz w:val="20"/>
                <w:szCs w:val="20"/>
                <w:lang w:eastAsia="zh-CN"/>
              </w:rPr>
            </w:pPr>
            <w:r>
              <w:rPr>
                <w:rFonts w:ascii="宋体" w:hAnsi="宋体" w:eastAsia="宋体" w:cs="宋体"/>
                <w:color w:val="000000"/>
                <w:sz w:val="20"/>
                <w:szCs w:val="20"/>
                <w:lang w:eastAsia="zh-CN"/>
              </w:rPr>
              <w:t>7.</w:t>
            </w:r>
            <w:r>
              <w:rPr>
                <w:rFonts w:hint="eastAsia" w:ascii="宋体" w:hAnsi="宋体" w:eastAsia="宋体" w:cs="宋体"/>
                <w:color w:val="000000"/>
                <w:sz w:val="20"/>
                <w:szCs w:val="20"/>
                <w:lang w:eastAsia="zh-CN"/>
              </w:rPr>
              <w:t>推进食品小作坊集中加工区建设。</w:t>
            </w:r>
            <w:r>
              <w:rPr>
                <w:rFonts w:ascii="宋体" w:hAnsi="宋体" w:eastAsia="宋体" w:cs="宋体"/>
                <w:color w:val="000000"/>
                <w:sz w:val="20"/>
                <w:szCs w:val="20"/>
                <w:lang w:eastAsia="zh-CN"/>
              </w:rPr>
              <w:t xml:space="preserve">                     8.</w:t>
            </w:r>
            <w:r>
              <w:rPr>
                <w:rFonts w:hint="eastAsia" w:ascii="宋体" w:hAnsi="宋体" w:eastAsia="宋体" w:cs="宋体"/>
                <w:color w:val="000000"/>
                <w:sz w:val="20"/>
                <w:szCs w:val="20"/>
                <w:lang w:eastAsia="zh-CN"/>
              </w:rPr>
              <w:t>落实食品小作坊食品安全各方责任。</w:t>
            </w:r>
          </w:p>
          <w:p>
            <w:pPr>
              <w:widowControl/>
              <w:spacing w:line="240" w:lineRule="exact"/>
              <w:textAlignment w:val="center"/>
              <w:rPr>
                <w:rFonts w:ascii="宋体" w:hAnsi="宋体" w:eastAsia="宋体" w:cs="Times New Roman"/>
                <w:color w:val="000000"/>
                <w:sz w:val="20"/>
                <w:szCs w:val="20"/>
                <w:lang w:eastAsia="zh-CN"/>
              </w:rPr>
            </w:pPr>
            <w:r>
              <w:rPr>
                <w:rFonts w:ascii="宋体" w:hAnsi="宋体" w:eastAsia="宋体" w:cs="宋体"/>
                <w:color w:val="000000"/>
                <w:spacing w:val="-11"/>
                <w:sz w:val="20"/>
                <w:szCs w:val="20"/>
                <w:lang w:eastAsia="zh-CN"/>
              </w:rPr>
              <w:t>9.</w:t>
            </w:r>
            <w:r>
              <w:rPr>
                <w:rFonts w:hint="eastAsia" w:ascii="宋体" w:hAnsi="宋体" w:eastAsia="宋体" w:cs="宋体"/>
                <w:color w:val="000000"/>
                <w:spacing w:val="-11"/>
                <w:sz w:val="20"/>
                <w:szCs w:val="20"/>
                <w:lang w:eastAsia="zh-CN"/>
              </w:rPr>
              <w:t>推动食品小作坊社会共治。</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E/>
              <w:autoSpaceDN/>
              <w:spacing w:line="260" w:lineRule="exact"/>
              <w:jc w:val="center"/>
              <w:rPr>
                <w:rFonts w:ascii="宋体" w:hAnsi="宋体" w:eastAsia="宋体" w:cs="Times New Roman"/>
                <w:color w:val="000000"/>
                <w:sz w:val="20"/>
                <w:szCs w:val="20"/>
                <w:lang w:eastAsia="zh-CN"/>
              </w:rPr>
            </w:pPr>
          </w:p>
        </w:tc>
      </w:tr>
    </w:tbl>
    <w:p>
      <w:pPr>
        <w:rPr>
          <w:spacing w:val="-11"/>
          <w:sz w:val="32"/>
          <w:szCs w:val="32"/>
          <w:lang w:eastAsia="zh-CN"/>
        </w:rPr>
        <w:sectPr>
          <w:pgSz w:w="16838" w:h="11906" w:orient="landscape"/>
          <w:pgMar w:top="1587" w:right="2098" w:bottom="1587" w:left="1701" w:header="851" w:footer="992" w:gutter="0"/>
          <w:pgNumType w:fmt="numberInDash"/>
          <w:cols w:space="0" w:num="1"/>
          <w:docGrid w:type="lines" w:linePitch="323" w:charSpace="0"/>
        </w:sect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rPr>
          <w:spacing w:val="-11"/>
          <w:sz w:val="32"/>
          <w:szCs w:val="32"/>
          <w:lang w:eastAsia="zh-CN"/>
        </w:rPr>
      </w:pPr>
    </w:p>
    <w:p>
      <w:pPr>
        <w:pStyle w:val="2"/>
        <w:ind w:left="0"/>
        <w:rPr>
          <w:lang w:eastAsia="zh-CN"/>
        </w:rPr>
      </w:pPr>
    </w:p>
    <w:p>
      <w:pPr>
        <w:pStyle w:val="2"/>
        <w:ind w:left="0"/>
        <w:rPr>
          <w:lang w:eastAsia="zh-CN"/>
        </w:rPr>
      </w:pPr>
    </w:p>
    <w:p>
      <w:pPr>
        <w:rPr>
          <w:lang w:eastAsia="zh-CN"/>
        </w:rPr>
      </w:pPr>
    </w:p>
    <w:p>
      <w:pPr>
        <w:rPr>
          <w:rFonts w:ascii="黑体" w:hAnsi="宋体" w:eastAsia="黑体"/>
          <w:sz w:val="32"/>
          <w:szCs w:val="32"/>
        </w:rPr>
      </w:pPr>
      <w:r>
        <w:rPr>
          <w:rFonts w:hint="eastAsia" w:ascii="黑体" w:hAnsi="宋体" w:eastAsia="黑体" w:cs="黑体"/>
          <w:sz w:val="32"/>
          <w:szCs w:val="32"/>
        </w:rPr>
        <w:t>公开方式：</w:t>
      </w:r>
      <w:bookmarkStart w:id="0" w:name="FlGkfs"/>
      <w:bookmarkEnd w:id="0"/>
      <w:r>
        <w:rPr>
          <w:rFonts w:hint="eastAsia" w:ascii="黑体" w:hAnsi="宋体" w:eastAsia="黑体" w:cs="黑体"/>
          <w:sz w:val="32"/>
          <w:szCs w:val="32"/>
          <w:lang w:eastAsia="zh-CN"/>
        </w:rPr>
        <w:t>主动</w:t>
      </w:r>
      <w:r>
        <w:rPr>
          <w:rFonts w:hint="eastAsia" w:ascii="黑体" w:hAnsi="宋体" w:eastAsia="黑体" w:cs="黑体"/>
          <w:sz w:val="32"/>
          <w:szCs w:val="32"/>
        </w:rPr>
        <w:t>公开</w:t>
      </w:r>
    </w:p>
    <w:tbl>
      <w:tblPr>
        <w:tblStyle w:val="7"/>
        <w:tblW w:w="0" w:type="auto"/>
        <w:tblInd w:w="-10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7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4" w:hRule="atLeast"/>
        </w:trPr>
        <w:tc>
          <w:tcPr>
            <w:tcW w:w="8745" w:type="dxa"/>
            <w:tcBorders>
              <w:left w:val="nil"/>
              <w:right w:val="nil"/>
            </w:tcBorders>
          </w:tcPr>
          <w:p>
            <w:pPr>
              <w:spacing w:beforeLines="50"/>
              <w:rPr>
                <w:rFonts w:ascii="仿宋_GB2312"/>
                <w:sz w:val="32"/>
                <w:szCs w:val="32"/>
                <w:lang w:eastAsia="zh-CN"/>
              </w:rPr>
            </w:pPr>
            <w:r>
              <w:rPr>
                <w:rFonts w:hint="eastAsia" w:ascii="仿宋_GB2312" w:cs="仿宋_GB2312"/>
                <w:sz w:val="32"/>
                <w:szCs w:val="32"/>
                <w:lang w:eastAsia="zh-CN"/>
              </w:rPr>
              <w:t>湛江市市场监督管理局</w:t>
            </w:r>
            <w:r>
              <w:rPr>
                <w:rFonts w:ascii="仿宋_GB2312" w:cs="仿宋_GB2312"/>
                <w:sz w:val="32"/>
                <w:szCs w:val="32"/>
                <w:lang w:eastAsia="zh-CN"/>
              </w:rPr>
              <w:t xml:space="preserve"> 2020</w:t>
            </w:r>
            <w:r>
              <w:rPr>
                <w:rFonts w:hint="eastAsia" w:ascii="仿宋_GB2312" w:cs="仿宋_GB2312"/>
                <w:sz w:val="32"/>
                <w:szCs w:val="32"/>
                <w:lang w:eastAsia="zh-CN"/>
              </w:rPr>
              <w:t>年3月5日印发</w:t>
            </w:r>
          </w:p>
        </w:tc>
      </w:tr>
    </w:tbl>
    <w:p>
      <w:pPr>
        <w:jc w:val="center"/>
        <w:rPr>
          <w:spacing w:val="-11"/>
          <w:sz w:val="32"/>
          <w:szCs w:val="32"/>
          <w:lang w:eastAsia="zh-CN"/>
        </w:rPr>
      </w:pPr>
      <w:r>
        <w:rPr>
          <w:rFonts w:hint="eastAsia"/>
          <w:spacing w:val="-11"/>
          <w:sz w:val="32"/>
          <w:szCs w:val="32"/>
          <w:lang w:eastAsia="zh-CN"/>
        </w:rPr>
        <w:t>校对：黄京辉</w:t>
      </w:r>
    </w:p>
    <w:sectPr>
      <w:footerReference r:id="rId4" w:type="default"/>
      <w:pgSz w:w="11906" w:h="16838"/>
      <w:pgMar w:top="2098" w:right="1587" w:bottom="1701" w:left="1587" w:header="851" w:footer="992" w:gutter="0"/>
      <w:pgNumType w:fmt="numberInDash"/>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PMingLiUfalt">
    <w:altName w:val="MingLiU"/>
    <w:panose1 w:val="00000000000000000000"/>
    <w:charset w:val="88"/>
    <w:family w:val="roman"/>
    <w:pitch w:val="default"/>
    <w:sig w:usb0="00000000" w:usb1="00000000" w:usb2="00000010" w:usb3="00000000" w:csb0="00100000" w:csb1="00000000"/>
  </w:font>
  <w:font w:name="Calibri Light">
    <w:altName w:val="Calibri"/>
    <w:panose1 w:val="020F0302020204030204"/>
    <w:charset w:val="00"/>
    <w:family w:val="swiss"/>
    <w:pitch w:val="default"/>
    <w:sig w:usb0="00000000" w:usb1="00000000" w:usb2="00000000" w:usb3="00000000" w:csb0="0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MingLiU">
    <w:panose1 w:val="02020509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cs="Times New Roman"/>
        <w:sz w:val="20"/>
        <w:szCs w:val="20"/>
      </w:rPr>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lang w:eastAsia="zh-CN"/>
                            </w:rPr>
                            <w:t>- 12 -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rPr>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lang w:eastAsia="zh-CN"/>
                      </w:rPr>
                      <w:t>- 12 -</w:t>
                    </w:r>
                    <w:r>
                      <w:rPr>
                        <w:rFonts w:hint="eastAsia"/>
                        <w:sz w:val="28"/>
                        <w:szCs w:val="28"/>
                        <w:lang w:eastAsia="zh-CN"/>
                      </w:rPr>
                      <w:fldChar w:fldCharType="end"/>
                    </w:r>
                  </w:p>
                </w:txbxContent>
              </v:textbox>
            </v:shape>
          </w:pict>
        </mc:Fallback>
      </mc:AlternateContent>
    </w:r>
    <w:r>
      <w:rPr>
        <w:lang w:eastAsia="zh-CN"/>
      </w:rPr>
      <mc:AlternateContent>
        <mc:Choice Requires="wps">
          <w:drawing>
            <wp:anchor distT="0" distB="0" distL="114300" distR="114300" simplePos="0" relativeHeight="251655168" behindDoc="0" locked="0" layoutInCell="1" allowOverlap="1">
              <wp:simplePos x="0" y="0"/>
              <wp:positionH relativeFrom="margin">
                <wp:align>outside</wp:align>
              </wp:positionH>
              <wp:positionV relativeFrom="page">
                <wp:posOffset>9672955</wp:posOffset>
              </wp:positionV>
              <wp:extent cx="6489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a:effectLst/>
                    </wps:spPr>
                    <wps:txbx>
                      <w:txbxContent>
                        <w:p>
                          <w:pPr>
                            <w:spacing w:line="321" w:lineRule="exact"/>
                            <w:rPr>
                              <w:rFonts w:ascii="宋体" w:eastAsia="宋体" w:cs="Times New Roman"/>
                              <w:sz w:val="28"/>
                              <w:szCs w:val="28"/>
                            </w:rPr>
                          </w:pPr>
                        </w:p>
                      </w:txbxContent>
                    </wps:txbx>
                    <wps:bodyPr lIns="0" tIns="0" rIns="0" bIns="0" upright="1"/>
                  </wps:wsp>
                </a:graphicData>
              </a:graphic>
            </wp:anchor>
          </w:drawing>
        </mc:Choice>
        <mc:Fallback>
          <w:pict>
            <v:shape id="_x0000_s1026" o:spid="_x0000_s1026" o:spt="202" type="#_x0000_t202" style="position:absolute;left:0pt;margin-top:761.65pt;height:16.05pt;width:51.1pt;mso-position-horizontal:outside;mso-position-horizontal-relative:margin;mso-position-vertical-relative:page;z-index:251655168;mso-width-relative:page;mso-height-relative:page;" filled="f" stroked="f" coordsize="21600,21600" o:gfxdata="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hUseNgAAAAKAQAADwAA&#10;AAAAAAABACAAAAAiAAAAZHJzL2Rvd25yZXYueG1sUEsBAhQAFAAAAAgAh07iQLmnL2ekAQAAMQMA&#10;AA4AAAAAAAAAAQAgAAAAJwEAAGRycy9lMm9Eb2MueG1sUEsFBgAAAAAGAAYAWQEAAD0FAAAAAA==&#10;">
              <v:fill on="f" focussize="0,0"/>
              <v:stroke on="f"/>
              <v:imagedata o:title=""/>
              <o:lock v:ext="edit" aspectratio="f"/>
              <v:textbox inset="0mm,0mm,0mm,0mm">
                <w:txbxContent>
                  <w:p>
                    <w:pPr>
                      <w:spacing w:line="321" w:lineRule="exact"/>
                      <w:rPr>
                        <w:rFonts w:ascii="宋体" w:eastAsia="宋体"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63659"/>
    <w:multiLevelType w:val="singleLevel"/>
    <w:tmpl w:val="5086365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741B5"/>
    <w:rsid w:val="00167854"/>
    <w:rsid w:val="00504821"/>
    <w:rsid w:val="009431A3"/>
    <w:rsid w:val="00F40667"/>
    <w:rsid w:val="5F526905"/>
    <w:rsid w:val="7A374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99"/>
    <w:pPr>
      <w:spacing w:before="56"/>
      <w:ind w:left="380"/>
      <w:outlineLvl w:val="0"/>
    </w:pPr>
    <w:rPr>
      <w:rFonts w:ascii="PMingLiUfalt" w:hAnsi="PMingLiUfalt" w:eastAsia="PMingLiUfalt" w:cs="PMingLiUfalt"/>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32"/>
      <w:szCs w:val="32"/>
    </w:rPr>
  </w:style>
  <w:style w:type="paragraph" w:styleId="4">
    <w:name w:val="footer"/>
    <w:basedOn w:val="1"/>
    <w:semiHidden/>
    <w:qFormat/>
    <w:uiPriority w:val="99"/>
    <w:pPr>
      <w:tabs>
        <w:tab w:val="center" w:pos="4153"/>
        <w:tab w:val="right" w:pos="8306"/>
      </w:tabs>
      <w:snapToGrid w:val="0"/>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itle"/>
    <w:basedOn w:val="1"/>
    <w:next w:val="1"/>
    <w:link w:val="9"/>
    <w:qFormat/>
    <w:uiPriority w:val="0"/>
    <w:pPr>
      <w:spacing w:before="240" w:after="60"/>
      <w:jc w:val="center"/>
      <w:outlineLvl w:val="0"/>
    </w:pPr>
    <w:rPr>
      <w:rFonts w:eastAsia="宋体" w:asciiTheme="majorHAnsi" w:hAnsiTheme="majorHAnsi" w:cstheme="majorBidi"/>
      <w:b/>
      <w:bCs/>
      <w:sz w:val="32"/>
      <w:szCs w:val="32"/>
    </w:rPr>
  </w:style>
  <w:style w:type="character" w:customStyle="1" w:styleId="9">
    <w:name w:val="标题 Char"/>
    <w:basedOn w:val="8"/>
    <w:link w:val="6"/>
    <w:uiPriority w:val="0"/>
    <w:rPr>
      <w:rFonts w:asciiTheme="majorHAnsi" w:hAnsiTheme="majorHAnsi" w:cstheme="majorBidi"/>
      <w:b/>
      <w:bCs/>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1032</Words>
  <Characters>5887</Characters>
  <Lines>49</Lines>
  <Paragraphs>13</Paragraphs>
  <TotalTime>17</TotalTime>
  <ScaleCrop>false</ScaleCrop>
  <LinksUpToDate>false</LinksUpToDate>
  <CharactersWithSpaces>6906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2020-03-05T02:33:00Z</dcterms:created>
  <dc:creator>庞智勇</dc:creator>
  <cp:lastModifiedBy>黄京辉</cp:lastModifiedBy>
  <dcterms:modified xsi:type="dcterms:W3CDTF">2020-03-12T08:17:49Z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