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00" w:lineRule="exact"/>
        <w:jc w:val="both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sz w:val="32"/>
          <w:szCs w:val="32"/>
          <w:lang w:eastAsia="zh-CN"/>
        </w:rPr>
        <w:t xml:space="preserve">  </w:t>
      </w:r>
    </w:p>
    <w:p>
      <w:pPr>
        <w:autoSpaceDE/>
        <w:autoSpaceDN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湛江市市场监督管理局“证照分离”改革事项清单</w:t>
      </w:r>
    </w:p>
    <w:p>
      <w:pPr>
        <w:autoSpaceDE/>
        <w:autoSpaceDN/>
        <w:spacing w:line="600" w:lineRule="exact"/>
        <w:jc w:val="both"/>
        <w:rPr>
          <w:rFonts w:ascii="方正小标宋_GBK" w:hAnsi="方正小标宋_GBK" w:eastAsia="方正小标宋_GBK" w:cs="Times New Roman"/>
          <w:sz w:val="44"/>
          <w:szCs w:val="44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969"/>
        <w:gridCol w:w="1056"/>
        <w:gridCol w:w="961"/>
        <w:gridCol w:w="1009"/>
        <w:gridCol w:w="1011"/>
        <w:gridCol w:w="939"/>
        <w:gridCol w:w="651"/>
        <w:gridCol w:w="650"/>
        <w:gridCol w:w="651"/>
        <w:gridCol w:w="650"/>
        <w:gridCol w:w="649"/>
        <w:gridCol w:w="2129"/>
        <w:gridCol w:w="2362"/>
        <w:gridCol w:w="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Header/>
          <w:jc w:val="center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国家主管部门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改革事项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许可证件</w:t>
            </w:r>
          </w:p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省级事项名称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省级主管部门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设定依据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审批层级和部门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改革方式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具体改革举措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加强事中事后监管措施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tblHeader/>
          <w:jc w:val="center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直接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取消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改为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备案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实行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告知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承诺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优化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服务</w:t>
            </w: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食品生产许可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食品生产许可证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食品生产许可（不含保健食品、婴幼儿配方乳粉、特殊医学用途配方食品）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《中华人民共和国食品安全法》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县级以上地方市场监管部门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实现申请、审批全程网上办理。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不再要求申请人提供营业执照、食品安全管理制度文本等材料。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将审批时限由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个工作日压减至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严格执行有关法律法规和标准，落实风险分级分类监管制度，开展“双随机、一公开”监管，加大监督检查和抽检力度，发现违法违规行为的要依法严查重处并公开结果。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加强信用监管，向社会公布食品生产企业信用状况，对失信主体开展联合惩戒。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1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食品添加剂生产许可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食品生产许可证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食品添加剂生产许可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《中华人民共和国食品安全法》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市级市场监督管理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实现申请、审批全程网上办理。2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不再要求申请人提供营业执照、食品安全管理制度文本等材料。3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将审批时限由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个工作日压减至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严格执行有关法律法规和标准，对食品添加剂生产企业加强监管。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开展“双随机、一公开”监管，发现违法违规行为的要依法严查重处并公开结果。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加强信用监管，向社会公布食品添加剂生产企业信用状况，对失信主体开展联合惩戒。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移动式压力容器、气瓶充装单位许可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移动式压力容器充装许可证、气瓶充装许可证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气瓶、移动式压力容器充装单位许可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《中华人民共和国特种设备安全法》《特种设备安全监察条例》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市级市场监管部门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对许可周期内未发生行政处罚、责任事故、投诉未结案等情况的充装单位，在许可证书有效期满前，采取企业自愿承诺方式申请直接换证，取消鉴定评审要求，但不可连续两个许可周期申请直接换证。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将审批时限由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个工作日压减至1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个工作日（不含鉴定评审时限）。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开展“双随机、一公开”监管，发现违法违规行为的要依法查处并公开结果。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对有投诉举报和发生充装事故的企业实施重点监管。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针对通过自愿承诺申请直接换证的充装单位，发现提交的申请材料中有虚假内容的要依法处理。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国家药监局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药品零售企业许可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药品经营许可证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药品经营许可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广东省药品监督管理局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《中华人民共和国药品管理法》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设区的市、县级市场监管部门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不再要求申请人提供营业执照等材料。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落实“四个最严”要求，制定年度监管计划，突出监管重点，强化风险控制。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通过日常监管督促企业不断完善、改进质量管理体系，持续合法合规经营。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对违法违规行为，依法严厉查处并公开曝光。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药品经营许可证补发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广东省药品监督管理局</w:t>
            </w: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国家药监局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第三类医疗器械经营许可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医疗器械经营许可证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第三类医疗器械经营许可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广东省药品监督管理局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《医疗器械监督管理条例》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设区的市级市场监管部门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1.不再要求申请人提供营业执照等材料。2.将审批时限由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个工作日压减至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个工作日。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加大执法检查力度，督促企业严格落实医疗器械经营质量管理规范要求，发现违法违规行为的要依法严查重处。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cs="Times New Roman"/>
                <w:lang w:eastAsia="zh-CN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cs="Times New Roman"/>
                <w:lang w:eastAsia="zh-CN"/>
              </w:rPr>
            </w:pPr>
          </w:p>
        </w:tc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cs="Times New Roman"/>
                <w:lang w:eastAsia="zh-CN"/>
              </w:rPr>
            </w:pPr>
          </w:p>
        </w:tc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cs="Times New Roman"/>
                <w:lang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第三类医疗器械经营许可证补发</w:t>
            </w:r>
          </w:p>
        </w:tc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承担国家法定计量检定机构任务授权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计量授权证书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承担国家法定计量检定机构任务的授权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《中华人民共和国计量法》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县级以上市场监管部门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实现申请、审批全程网上办理。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取消计量标准考核证书、计量检定或校准人员能力证明等申请材料。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对变更法定代表人、授权签字人或计量规程等需现场审查的事项，由法定计量检定机构自愿承诺符合相关要求，审批部门对承诺内容进行形式审查后办理。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开展“双随机、一公开”监管，发现违法违规行为的要依法查处并公开结果。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对通过投诉举报等渠道反映问题多的机构实施重点监管。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加强信用监管，向社会公布法定计量检定机构信用状况，对失信主体开展联合惩戒。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广告发布登记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关于准予广告发布登记的通知书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广告发布登记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《中华人民共和国广告法》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县级以上地方市场监管部门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推动实现广告发布登记申请、审批等全程网上办理。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不再要求申请人提供广告业务机构证明文件及负责人任命文件、广告从业人员和广告审查人员证明文件、场所使用证明等材料。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加大广告监测力度，发现广告发布机构发布虚假违法广告的要依法查处。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加强协同监管，进一步发挥整治虚假违法广告部际联席会议作用，联合有关部门共同做好广告发布机构的监管工作。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食品经营许可（除仅销售预包装食品外）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食品经营许可证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食品经营许可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《中华人民共和国食品安全法》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县级以上地方市场监管部门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餐饮服务经营者销售预包装食品的，不需要申请在许可证上标注销售类食品经营项目。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不再要求申请人提供营业执照复印件等材料。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严格执行有关法律法规和标准，开展“双随机、一公开”监管，发挥网格化管理的优势，发现违法违规行为的要依法严查重处并公开结果。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加强信用监管，向社会公布食品经营企业信用状况，对失信主体开展联合惩戒。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cs="Times New Roman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969"/>
        <w:gridCol w:w="1056"/>
        <w:gridCol w:w="961"/>
        <w:gridCol w:w="1009"/>
        <w:gridCol w:w="1011"/>
        <w:gridCol w:w="939"/>
        <w:gridCol w:w="651"/>
        <w:gridCol w:w="650"/>
        <w:gridCol w:w="651"/>
        <w:gridCol w:w="650"/>
        <w:gridCol w:w="649"/>
        <w:gridCol w:w="2129"/>
        <w:gridCol w:w="2362"/>
        <w:gridCol w:w="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Header/>
          <w:jc w:val="center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国家主管部门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改革事项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许可证件</w:t>
            </w:r>
          </w:p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省级事项名称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省级主管部门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设定依据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审批层级和部门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改革方式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具体改革举措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加强事中事后监管措施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Header/>
          <w:jc w:val="center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直接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取消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改为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备案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实行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告知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承诺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优化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审批</w:t>
            </w:r>
            <w:r>
              <w:rPr>
                <w:rFonts w:ascii="黑体" w:hAnsi="黑体" w:eastAsia="黑体" w:cs="Times New Roman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服务</w:t>
            </w:r>
          </w:p>
        </w:tc>
        <w:tc>
          <w:tcPr>
            <w:tcW w:w="2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食品经营许可（仅销售预包装食品）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食品经营许可证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食品经营许可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《中华人民共和国食品安全法》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县级以上地方市场监管部门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对申请人符合《广东省市场监督管理局关于印发食品经营许可的实施细则（试行）的通知</w:t>
            </w:r>
          </w:p>
          <w:p>
            <w:pPr>
              <w:jc w:val="both"/>
              <w:rPr>
                <w:rFonts w:ascii="宋体" w:hAnsi="宋体" w:eastAsia="宋体" w:cs="Times New Roman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》粤市监规字〔2019〕2号文件要求的，并作出告知承诺的，经形式审查后作出审批决定。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对吿知承诺企业加强监督检查，重点检查吿知承诺信息与实际情况是否相符、吿知承诺企业是否经营预包装食品以外的其他食品，依法严厉打击违规经营行为。2.将虚假吿知承诺、违规经营等信息记入企业食品安全信用记录，对失信主体开展联合惩戒。3.畅通投诉举报渠道，强化社会监督。</w:t>
            </w:r>
          </w:p>
          <w:p>
            <w:pPr>
              <w:widowControl/>
              <w:autoSpaceDE/>
              <w:autoSpaceDN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autoSpaceDE/>
              <w:autoSpaceDN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市场监管总局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重要工业产品（除食品相关产品外）生产许可证核发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重要工业产品生产许可证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工业产品生产许可证核发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《中华人民共和国工业产品生产许可证管理条例》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textAlignment w:val="center"/>
              <w:rPr>
                <w:rFonts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市级两项工业产品生产许可证核发实行先证后核和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吿知承诺。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开展“双随机、一公开”监管，发现违法违规行为的要依法查处并公开结果。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对通过投诉举报等渠道反映问题多的机构实施重点监管。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加强信用监管，向社会公布法定计量检定机构信用状况，对失信主体开展联合惩戒。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国家药监局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第二类精神药品零售业务审批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批准文件，在药品经营许可证经营范围中注明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特殊药品的购用、使用、经营、生产和邮寄、运输审批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广东省药品监督管理局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《麻醉药品和精神药品管理条例》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设区的市级市场监管部门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不再要求申请人提供药品经营许可证、药品经营质量管理规（GSP） 证书等材料。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严格执行有关法律法规和规章，对特殊药品生产、经营企业加强监管。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实施重点监管，发现违法违规行为的要依法严查重处。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及时向社会公开许可信息，加强社会监督。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0" w:hRule="atLeast"/>
          <w:jc w:val="center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食品生产加工小作坊登记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食品生产加工小作坊登记证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广东省市场监督管理局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《广东省食品生产加工小作坊和食品摊贩管理条例》（广东省第十二届人民代表大会常务委员公告第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号）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县级市场监管部门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完善食品小作坊登记制度，优化食品小作坊登记程序，精简申报材料、压缩工作时限。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完善食品小作坊信息化管理，逐步推进食品小作坊登记全流程网上办理与电子登记证。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建立食品小作坊禁止生产加工目录动态调整机制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建立推行食品小作坊监管与抽检计划向社会公示制度。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强化食品小作坊风险隐患排查。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                       4.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实施食品小作坊风险分类管理。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                     5.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严查食品小作坊违法违规行为。</w:t>
            </w:r>
            <w:r>
              <w:rPr>
                <w:rFonts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强化食品小作坊规范指导。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推进食品小作坊集中加工区建设。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                  8.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落实食品小作坊食品安全各方责任。</w:t>
            </w:r>
          </w:p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sz w:val="20"/>
                <w:szCs w:val="20"/>
                <w:lang w:eastAsia="zh-CN"/>
              </w:rPr>
              <w:t>推动食品小作坊社会共治。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rPr>
          <w:spacing w:val="-11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2098" w:bottom="1587" w:left="1701" w:header="851" w:footer="992" w:gutter="0"/>
          <w:pgNumType w:fmt="numberInDash"/>
          <w:cols w:space="0" w:num="1"/>
          <w:docGrid w:type="lines" w:linePitch="323" w:charSpace="0"/>
        </w:sectPr>
      </w:pPr>
      <w:bookmarkStart w:id="0" w:name="_GoBack"/>
      <w:bookmarkEnd w:id="0"/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rPr>
          <w:spacing w:val="-11"/>
          <w:sz w:val="32"/>
          <w:szCs w:val="32"/>
          <w:lang w:eastAsia="zh-CN"/>
        </w:rPr>
      </w:pPr>
    </w:p>
    <w:p>
      <w:pPr>
        <w:jc w:val="center"/>
        <w:rPr>
          <w:spacing w:val="-11"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587" w:bottom="1701" w:left="1587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9672955</wp:posOffset>
              </wp:positionV>
              <wp:extent cx="6489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rPr>
                              <w:rFonts w:ascii="宋体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1.65pt;height:16.05pt;width:51.1pt;mso-position-horizontal:outside;mso-position-horizontal-relative:margin;mso-position-vertical-relative:page;z-index:251655168;mso-width-relative:page;mso-height-relative:page;" filled="f" stroked="f" coordsize="21600,21600" o:gfxdata="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ghUseNgAAAAKAQAADwAA&#10;AAAAAAABACAAAAAiAAAAZHJzL2Rvd25yZXYueG1sUEsBAhQAFAAAAAgAh07iQLmnL2ekAQAAMQMA&#10;AA4AAAAAAAAAAQAgAAAAJ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rPr>
                        <w:rFonts w:ascii="宋体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3659"/>
    <w:multiLevelType w:val="singleLevel"/>
    <w:tmpl w:val="508636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41B5"/>
    <w:rsid w:val="00167854"/>
    <w:rsid w:val="00504821"/>
    <w:rsid w:val="009431A3"/>
    <w:rsid w:val="00A66640"/>
    <w:rsid w:val="00F40667"/>
    <w:rsid w:val="0CED2773"/>
    <w:rsid w:val="153F33E2"/>
    <w:rsid w:val="235E1B8F"/>
    <w:rsid w:val="25481AB8"/>
    <w:rsid w:val="4A9127F8"/>
    <w:rsid w:val="4E563C03"/>
    <w:rsid w:val="4FB8179F"/>
    <w:rsid w:val="56E64CD9"/>
    <w:rsid w:val="5CB513C0"/>
    <w:rsid w:val="5F526905"/>
    <w:rsid w:val="60115D79"/>
    <w:rsid w:val="6BAA3DCA"/>
    <w:rsid w:val="6F5E017D"/>
    <w:rsid w:val="70D8080F"/>
    <w:rsid w:val="79CB5C6F"/>
    <w:rsid w:val="7A374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spacing w:before="56"/>
      <w:ind w:left="380"/>
      <w:outlineLvl w:val="0"/>
    </w:pPr>
    <w:rPr>
      <w:rFonts w:ascii="PMingLiUfalt" w:hAnsi="PMingLiUfalt" w:eastAsia="PMingLiUfalt" w:cs="PMingLiUfalt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0"/>
    <w:rPr>
      <w:rFonts w:asciiTheme="majorHAnsi" w:hAnsiTheme="majorHAnsi" w:cstheme="majorBidi"/>
      <w:b/>
      <w:bCs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1032</Words>
  <Characters>5887</Characters>
  <Lines>49</Lines>
  <Paragraphs>13</Paragraphs>
  <TotalTime>108</TotalTime>
  <ScaleCrop>false</ScaleCrop>
  <LinksUpToDate>false</LinksUpToDate>
  <CharactersWithSpaces>6906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2020-03-05T02:33:00Z</dcterms:created>
  <dc:creator>庞智勇</dc:creator>
  <cp:lastModifiedBy>懒洋洋</cp:lastModifiedBy>
  <cp:lastPrinted>2020-08-04T02:01:12Z</cp:lastPrinted>
  <dcterms:modified xsi:type="dcterms:W3CDTF">2020-08-04T02:01:24Z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