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湛江市市场监管领域轻微违法行为减轻、</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免予处罚的自由裁量权实施意见</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楷体_GB2312" w:hAnsi="楷体_GB2312" w:eastAsia="楷体_GB2312" w:cs="楷体_GB2312"/>
          <w:b/>
          <w:bCs/>
          <w:sz w:val="44"/>
          <w:szCs w:val="44"/>
          <w:lang w:eastAsia="zh-CN"/>
        </w:rPr>
      </w:pPr>
      <w:r>
        <w:rPr>
          <w:rFonts w:hint="eastAsia" w:ascii="楷体_GB2312" w:hAnsi="楷体_GB2312" w:eastAsia="楷体_GB2312" w:cs="楷体_GB2312"/>
          <w:b/>
          <w:bCs/>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CESI仿宋-GB18030" w:hAnsi="CESI仿宋-GB18030" w:eastAsia="CESI仿宋-GB18030" w:cs="CESI仿宋-GB18030"/>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CESI仿宋-GB18030" w:hAnsi="CESI仿宋-GB18030" w:eastAsia="CESI仿宋-GB18030" w:cs="CESI仿宋-GB18030"/>
          <w:sz w:val="30"/>
          <w:szCs w:val="30"/>
          <w:lang w:eastAsia="zh-CN"/>
        </w:rPr>
      </w:pPr>
      <w:r>
        <w:rPr>
          <w:rFonts w:hint="eastAsia" w:ascii="CESI仿宋-GB18030" w:hAnsi="CESI仿宋-GB18030" w:eastAsia="CESI仿宋-GB18030" w:cs="CESI仿宋-GB18030"/>
          <w:sz w:val="30"/>
          <w:szCs w:val="30"/>
          <w:lang w:eastAsia="zh-CN"/>
        </w:rPr>
        <w:t>为适应《中华人民共和国行政处罚法》（</w:t>
      </w:r>
      <w:r>
        <w:rPr>
          <w:rFonts w:hint="eastAsia" w:ascii="CESI仿宋-GB18030" w:hAnsi="CESI仿宋-GB18030" w:eastAsia="CESI仿宋-GB18030" w:cs="CESI仿宋-GB18030"/>
          <w:sz w:val="30"/>
          <w:szCs w:val="30"/>
          <w:lang w:val="en-US" w:eastAsia="zh-CN"/>
        </w:rPr>
        <w:t>2021年第二次修订</w:t>
      </w:r>
      <w:r>
        <w:rPr>
          <w:rFonts w:hint="eastAsia" w:ascii="CESI仿宋-GB18030" w:hAnsi="CESI仿宋-GB18030" w:eastAsia="CESI仿宋-GB18030" w:cs="CESI仿宋-GB18030"/>
          <w:sz w:val="30"/>
          <w:szCs w:val="30"/>
          <w:lang w:eastAsia="zh-CN"/>
        </w:rPr>
        <w:t>）的规定，优化营商环境，进一步规范行使行政处罚自由裁量权，根据《中华人民共和国行政处罚法》《优化营商环境条例》和总局、省局关于自由裁量权的规定，结合本市具体情况，我局决定对湛江市市场监管领域违法行为开展柔性执法、包容监管，提出减轻、免予处罚的自由裁量权实施意见如下：</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00" w:firstLineChars="200"/>
        <w:jc w:val="both"/>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充分认识开展柔性执法、包容监管的重要性和必要性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jc w:val="both"/>
        <w:textAlignment w:val="auto"/>
        <w:rPr>
          <w:rFonts w:hint="eastAsia" w:ascii="CESI仿宋-GB18030" w:hAnsi="CESI仿宋-GB18030" w:eastAsia="CESI仿宋-GB18030" w:cs="CESI仿宋-GB18030"/>
          <w:sz w:val="30"/>
          <w:szCs w:val="30"/>
          <w:lang w:eastAsia="zh-CN"/>
        </w:rPr>
      </w:pPr>
      <w:r>
        <w:rPr>
          <w:rFonts w:hint="eastAsia" w:ascii="CESI仿宋-GB18030" w:hAnsi="CESI仿宋-GB18030" w:eastAsia="CESI仿宋-GB18030" w:cs="CESI仿宋-GB18030"/>
          <w:sz w:val="30"/>
          <w:szCs w:val="30"/>
          <w:lang w:eastAsia="zh-CN"/>
        </w:rPr>
        <w:t>新修订的《中华人民共和国行政处罚法》（简称《行政处罚法》，下同）适应新时代的要求，在保护行政相对人的合法权益，推进严格、规范、公正、文明执法等方面构建了新的制度。既体现了规制违法行为的刚性和锐度，也展现出保护行政相对人合法权益的柔性和温度。坚持过罚相当和处罚与教育相结合的原则，既是优化营商环境的要求，也是深化为人民服务理念的必需。</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二、准确把握适用的原则、条件</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default" w:ascii="CESI仿宋-GB18030" w:hAnsi="CESI仿宋-GB18030" w:eastAsia="CESI仿宋-GB18030" w:cs="CESI仿宋-GB18030"/>
          <w:b w:val="0"/>
          <w:bCs w:val="0"/>
          <w:sz w:val="30"/>
          <w:szCs w:val="30"/>
          <w:lang w:val="en" w:eastAsia="zh-CN"/>
        </w:rPr>
      </w:pPr>
      <w:r>
        <w:rPr>
          <w:rFonts w:hint="eastAsia" w:ascii="楷体_GB2312" w:hAnsi="楷体_GB2312" w:eastAsia="楷体_GB2312" w:cs="楷体_GB2312"/>
          <w:b/>
          <w:bCs/>
          <w:sz w:val="30"/>
          <w:szCs w:val="30"/>
          <w:lang w:eastAsia="zh-CN"/>
        </w:rPr>
        <w:t>（一）适用原则。</w:t>
      </w:r>
      <w:r>
        <w:rPr>
          <w:rFonts w:hint="eastAsia" w:ascii="CESI仿宋-GB18030" w:hAnsi="CESI仿宋-GB18030" w:eastAsia="CESI仿宋-GB18030" w:cs="CESI仿宋-GB18030"/>
          <w:b w:val="0"/>
          <w:bCs w:val="0"/>
          <w:sz w:val="30"/>
          <w:szCs w:val="30"/>
          <w:lang w:eastAsia="zh-CN"/>
        </w:rPr>
        <w:t>坚持过罚相当和处罚与教育相结合的原则，综合考虑违法行为的事实、性质、情节、社会危害程度等因素，鼓励和引导行政相对人预防和改正违法行为，主动消除或减轻违法行为危害后果。</w:t>
      </w:r>
    </w:p>
    <w:p>
      <w:pPr>
        <w:keepNext w:val="0"/>
        <w:keepLines w:val="0"/>
        <w:pageBreakBefore w:val="0"/>
        <w:widowControl w:val="0"/>
        <w:kinsoku/>
        <w:wordWrap/>
        <w:overflowPunct/>
        <w:topLinePunct w:val="0"/>
        <w:autoSpaceDE/>
        <w:autoSpaceDN/>
        <w:bidi w:val="0"/>
        <w:adjustRightInd/>
        <w:snapToGrid/>
        <w:spacing w:line="580" w:lineRule="exact"/>
        <w:ind w:firstLine="602" w:firstLineChars="200"/>
        <w:textAlignment w:val="auto"/>
        <w:rPr>
          <w:rFonts w:hint="eastAsia" w:ascii="CESI仿宋-GB18030" w:hAnsi="CESI仿宋-GB18030" w:eastAsia="CESI仿宋-GB18030" w:cs="CESI仿宋-GB18030"/>
          <w:b w:val="0"/>
          <w:bCs w:val="0"/>
          <w:sz w:val="30"/>
          <w:szCs w:val="30"/>
          <w:lang w:eastAsia="zh-CN"/>
        </w:rPr>
      </w:pPr>
      <w:r>
        <w:rPr>
          <w:rFonts w:hint="eastAsia" w:ascii="楷体_GB2312" w:hAnsi="楷体_GB2312" w:eastAsia="楷体_GB2312" w:cs="楷体_GB2312"/>
          <w:b/>
          <w:bCs/>
          <w:sz w:val="30"/>
          <w:szCs w:val="30"/>
          <w:lang w:eastAsia="zh-CN"/>
        </w:rPr>
        <w:t>（二）适用条件。</w:t>
      </w:r>
      <w:r>
        <w:rPr>
          <w:rFonts w:hint="eastAsia" w:ascii="CESI仿宋-GB18030" w:hAnsi="CESI仿宋-GB18030" w:eastAsia="CESI仿宋-GB18030" w:cs="CESI仿宋-GB18030"/>
          <w:b w:val="0"/>
          <w:bCs w:val="0"/>
          <w:sz w:val="30"/>
          <w:szCs w:val="30"/>
          <w:lang w:eastAsia="zh-CN"/>
        </w:rPr>
        <w:t>在没有对公民生命健康安全造成明显危害后果的情况下，对同时满足事实轻微、性质不恶劣、情节不严重及社会危害程度小等条件的违法行为，依据本意见作出减轻、免予处罚的裁量。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三、减轻处罚的幅度</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减轻处罚的幅度分为以下三种，一个违法行为同时符合多个幅度的，按罚款最轻的幅度裁量：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一级减轻：违法行为非常轻微的，减轻至法定最低处罚金额的30%以下；</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二级减轻：违法行为显著轻微的，减轻至法定最低处罚金额的30-70%；</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default"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三级减轻：违法行为比较轻微的，减轻至法定最低处罚金额的70%以上。</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违法事实轻微的裁量要点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对于违法事实轻微的认定</w:t>
      </w:r>
      <w:r>
        <w:rPr>
          <w:rFonts w:hint="eastAsia" w:ascii="CESI仿宋-GB18030" w:hAnsi="CESI仿宋-GB18030" w:eastAsia="CESI仿宋-GB18030" w:cs="CESI仿宋-GB18030"/>
          <w:b w:val="0"/>
          <w:bCs w:val="0"/>
          <w:sz w:val="30"/>
          <w:szCs w:val="30"/>
          <w:lang w:eastAsia="zh-CN"/>
        </w:rPr>
        <w:t>，可</w:t>
      </w:r>
      <w:r>
        <w:rPr>
          <w:rFonts w:hint="eastAsia" w:ascii="CESI仿宋-GB18030" w:hAnsi="CESI仿宋-GB18030" w:eastAsia="CESI仿宋-GB18030" w:cs="CESI仿宋-GB18030"/>
          <w:b w:val="0"/>
          <w:bCs w:val="0"/>
          <w:sz w:val="30"/>
          <w:szCs w:val="30"/>
          <w:lang w:val="en-US" w:eastAsia="zh-CN"/>
        </w:rPr>
        <w:t>按如下方式裁量：</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（一）自然人：货值金额或违法所得100元以下的，为非常轻微；货值金额或违法所得200元以下的，为显著轻微；货值金额或违法所得300元以下的，为比较轻微。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法人和其他组织：货值金额或违法所得500元以下的，为非常轻微；货值金额或违法所得1000元以下的，为显著轻微；货值金额或违法所得2000元以下的，为比较轻微。</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上述认定方式中的货值金额或违法所得，要与相应法律责任中的自由裁量基准对应。</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市场准入</w:t>
      </w:r>
      <w:r>
        <w:rPr>
          <w:rFonts w:hint="eastAsia" w:ascii="CESI仿宋-GB18030" w:hAnsi="CESI仿宋-GB18030" w:eastAsia="CESI仿宋-GB18030" w:cs="CESI仿宋-GB18030"/>
          <w:b w:val="0"/>
          <w:bCs w:val="0"/>
          <w:i w:val="0"/>
          <w:iCs w:val="0"/>
          <w:sz w:val="30"/>
          <w:szCs w:val="30"/>
          <w:u w:val="none"/>
          <w:lang w:val="en-US" w:eastAsia="zh-CN"/>
        </w:rPr>
        <w:t>和广告</w:t>
      </w:r>
      <w:r>
        <w:rPr>
          <w:rFonts w:hint="eastAsia" w:ascii="CESI仿宋-GB18030" w:hAnsi="CESI仿宋-GB18030" w:eastAsia="CESI仿宋-GB18030" w:cs="CESI仿宋-GB18030"/>
          <w:b w:val="0"/>
          <w:bCs w:val="0"/>
          <w:sz w:val="30"/>
          <w:szCs w:val="30"/>
          <w:lang w:val="en-US" w:eastAsia="zh-CN"/>
        </w:rPr>
        <w:t>相关的违法行为持续1个月内的为比较轻微；持续1周内的为显著轻微；持续3日内的为非常轻微。</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 xml:space="preserve">    （三）其他违法事实轻微的认定，要符合一般人认知标准，要坚持政治效果、社会效果、法律效果相统一。既要实现个案公平正义,又要充分回应社会关切。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五、《行政处罚法》规定“应当从轻或减轻”的裁量要点</w:t>
      </w:r>
    </w:p>
    <w:p>
      <w:pPr>
        <w:keepNext w:val="0"/>
        <w:keepLines w:val="0"/>
        <w:pageBreakBefore w:val="0"/>
        <w:widowControl w:val="0"/>
        <w:numPr>
          <w:ilvl w:val="0"/>
          <w:numId w:val="4"/>
        </w:numPr>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主动消除或者减轻违法行为危害后果的：一般情况下，有行动、无效果的，应当从轻；有行动、有效果的，应当减轻。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textAlignment w:val="auto"/>
        <w:rPr>
          <w:rFonts w:hint="default"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1.生产销售不合格产品的，召回70%以上适用一级减轻；召回30%-70%适用二级减轻；召回30%以下适用三级减轻。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2.案件来源于于消费和侵权纠纷，自行和解的适用一级减轻；经调解达成和解的适用二级减轻。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lang w:eastAsia="zh-CN"/>
        </w:rPr>
        <w:t>（二）受他人胁迫实施违法行为的，适用一级减轻；受他人诱骗实施违法行为的，适用二级减轻。</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lang w:eastAsia="zh-CN"/>
        </w:rPr>
        <w:t>（三）主动供述行政机关尚未掌握的违法行为的，和配合行政机关查处违法行为有立功表现的，参照《广东省举报侵犯知识产权和制售假冒伪劣商品违法行为奖励办法》确定的奖励等级</w:t>
      </w:r>
      <w:r>
        <w:rPr>
          <w:rFonts w:hint="eastAsia" w:ascii="CESI仿宋-GB18030" w:hAnsi="CESI仿宋-GB18030" w:eastAsia="CESI仿宋-GB18030" w:cs="CESI仿宋-GB18030"/>
          <w:b w:val="0"/>
          <w:bCs w:val="0"/>
          <w:sz w:val="30"/>
          <w:szCs w:val="30"/>
          <w:lang w:val="en-US" w:eastAsia="zh-CN"/>
        </w:rPr>
        <w:t>A类、B类、C类</w:t>
      </w:r>
      <w:r>
        <w:rPr>
          <w:rFonts w:hint="eastAsia" w:ascii="CESI仿宋-GB18030" w:hAnsi="CESI仿宋-GB18030" w:eastAsia="CESI仿宋-GB18030" w:cs="CESI仿宋-GB18030"/>
          <w:b w:val="0"/>
          <w:bCs w:val="0"/>
          <w:sz w:val="30"/>
          <w:szCs w:val="30"/>
          <w:lang w:eastAsia="zh-CN"/>
        </w:rPr>
        <w:t>，对应确定减轻幅度一级、二级、三级。</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六、</w:t>
      </w:r>
      <w:r>
        <w:rPr>
          <w:rFonts w:hint="eastAsia" w:ascii="黑体" w:hAnsi="黑体" w:eastAsia="黑体" w:cs="黑体"/>
          <w:b w:val="0"/>
          <w:bCs w:val="0"/>
          <w:sz w:val="30"/>
          <w:szCs w:val="30"/>
          <w:lang w:val="en-US" w:eastAsia="zh-CN"/>
        </w:rPr>
        <w:t>《行政处罚法》规定</w:t>
      </w:r>
      <w:r>
        <w:rPr>
          <w:rFonts w:hint="eastAsia" w:ascii="黑体" w:hAnsi="黑体" w:eastAsia="黑体" w:cs="黑体"/>
          <w:b w:val="0"/>
          <w:bCs w:val="0"/>
          <w:sz w:val="30"/>
          <w:szCs w:val="30"/>
          <w:lang w:eastAsia="zh-CN"/>
        </w:rPr>
        <w:t>“初次违法”的裁量要点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lang w:eastAsia="zh-CN"/>
        </w:rPr>
        <w:t>在《行政处罚法》第三十六条规定的期限内，</w:t>
      </w:r>
      <w:r>
        <w:rPr>
          <w:rFonts w:hint="eastAsia" w:ascii="CESI仿宋-GB18030" w:hAnsi="CESI仿宋-GB18030" w:eastAsia="CESI仿宋-GB18030" w:cs="CESI仿宋-GB18030"/>
          <w:b w:val="0"/>
          <w:bCs w:val="0"/>
          <w:i w:val="0"/>
          <w:iCs w:val="0"/>
          <w:color w:val="auto"/>
          <w:sz w:val="30"/>
          <w:szCs w:val="30"/>
          <w:u w:val="none"/>
          <w:lang w:eastAsia="zh-CN"/>
        </w:rPr>
        <w:t>在本局办理的案件中</w:t>
      </w:r>
      <w:r>
        <w:rPr>
          <w:rFonts w:hint="eastAsia" w:ascii="CESI仿宋-GB18030" w:hAnsi="CESI仿宋-GB18030" w:eastAsia="CESI仿宋-GB18030" w:cs="CESI仿宋-GB18030"/>
          <w:b w:val="0"/>
          <w:bCs w:val="0"/>
          <w:sz w:val="30"/>
          <w:szCs w:val="30"/>
          <w:lang w:eastAsia="zh-CN"/>
        </w:rPr>
        <w:t>第一次发现违反市场监管领域法律应当给予罚款处罚的行为，可以认定为初次违法。涉及新技术、新产业、新业态、新模式的，根据法律的不同，可以多次认定初次违法。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七、“可以免予处罚”的裁量要点</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lang w:eastAsia="zh-CN"/>
        </w:rPr>
        <w:t>对于“可以免予处罚”等类似法律规定，裁量时应综合考虑行政相对人是否存在主观过错，</w:t>
      </w:r>
      <w:r>
        <w:rPr>
          <w:rFonts w:hint="eastAsia" w:ascii="CESI仿宋-GB18030" w:hAnsi="CESI仿宋-GB18030" w:eastAsia="CESI仿宋-GB18030" w:cs="CESI仿宋-GB18030"/>
          <w:b w:val="0"/>
          <w:bCs w:val="0"/>
          <w:sz w:val="30"/>
          <w:szCs w:val="30"/>
          <w:u w:val="none"/>
          <w:lang w:eastAsia="zh-CN"/>
        </w:rPr>
        <w:t>不得缺省适用条件</w:t>
      </w:r>
      <w:bookmarkStart w:id="0" w:name="_GoBack"/>
      <w:r>
        <w:rPr>
          <w:rFonts w:hint="eastAsia" w:ascii="CESI仿宋-GB18030" w:hAnsi="CESI仿宋-GB18030" w:eastAsia="CESI仿宋-GB18030" w:cs="CESI仿宋-GB18030"/>
          <w:b w:val="0"/>
          <w:bCs w:val="0"/>
          <w:sz w:val="30"/>
          <w:szCs w:val="30"/>
          <w:lang w:eastAsia="zh-CN"/>
        </w:rPr>
        <w:t>一概免罚</w:t>
      </w:r>
      <w:bookmarkEnd w:id="0"/>
      <w:r>
        <w:rPr>
          <w:rFonts w:hint="eastAsia" w:ascii="CESI仿宋-GB18030" w:hAnsi="CESI仿宋-GB18030" w:eastAsia="CESI仿宋-GB18030" w:cs="CESI仿宋-GB18030"/>
          <w:b w:val="0"/>
          <w:bCs w:val="0"/>
          <w:sz w:val="30"/>
          <w:szCs w:val="30"/>
          <w:lang w:eastAsia="zh-CN"/>
        </w:rPr>
        <w:t>。如行政相对人履行了相应的法定义务，并能提供证据足以证明没有主观过错的，应当免予处罚。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lang w:eastAsia="zh-CN"/>
        </w:rPr>
        <w:t>发生重大传染病疫情等突发事件，为了控制、减轻和消除突发事件引起的社会危害，行政相对人积极响应政府号召实施应对措施，无证据证明存在主观过错的，应当予以免罚。</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八、免罚清单</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CESI仿宋-GB18030" w:hAnsi="CESI仿宋-GB18030" w:eastAsia="CESI仿宋-GB18030" w:cs="CESI仿宋-GB18030"/>
          <w:b w:val="0"/>
          <w:bCs w:val="0"/>
          <w:sz w:val="30"/>
          <w:szCs w:val="30"/>
          <w:lang w:eastAsia="zh-CN"/>
        </w:rPr>
      </w:pPr>
      <w:r>
        <w:rPr>
          <w:rFonts w:hint="eastAsia" w:ascii="CESI仿宋-GB18030" w:hAnsi="CESI仿宋-GB18030" w:eastAsia="CESI仿宋-GB18030" w:cs="CESI仿宋-GB18030"/>
          <w:b w:val="0"/>
          <w:bCs w:val="0"/>
          <w:sz w:val="30"/>
          <w:szCs w:val="30"/>
          <w:u w:val="none"/>
          <w:lang w:eastAsia="zh-CN"/>
        </w:rPr>
        <w:t>《湛江市市场监管领域轻微违法行为免罚清单》列举的违法行为符合不予处罚条件的</w:t>
      </w:r>
      <w:r>
        <w:rPr>
          <w:rFonts w:hint="eastAsia" w:ascii="CESI仿宋-GB18030" w:hAnsi="CESI仿宋-GB18030" w:eastAsia="CESI仿宋-GB18030" w:cs="CESI仿宋-GB18030"/>
          <w:b w:val="0"/>
          <w:bCs w:val="0"/>
          <w:sz w:val="30"/>
          <w:szCs w:val="30"/>
          <w:lang w:eastAsia="zh-CN"/>
        </w:rPr>
        <w:t>，免予处罚，依法责令（限期）改正。</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sz w:val="30"/>
          <w:szCs w:val="30"/>
          <w:lang w:eastAsia="zh-CN"/>
        </w:rPr>
      </w:pPr>
      <w:r>
        <w:rPr>
          <w:rFonts w:hint="eastAsia" w:ascii="黑体" w:hAnsi="黑体" w:eastAsia="黑体" w:cs="黑体"/>
          <w:b w:val="0"/>
          <w:bCs w:val="0"/>
          <w:sz w:val="30"/>
          <w:szCs w:val="30"/>
          <w:lang w:val="en-US" w:eastAsia="zh-CN"/>
        </w:rPr>
        <w:t>九、</w:t>
      </w:r>
      <w:r>
        <w:rPr>
          <w:rFonts w:hint="eastAsia" w:ascii="CESI仿宋-GB18030" w:hAnsi="CESI仿宋-GB18030" w:eastAsia="CESI仿宋-GB18030" w:cs="CESI仿宋-GB18030"/>
          <w:b w:val="0"/>
          <w:bCs w:val="0"/>
          <w:sz w:val="30"/>
          <w:szCs w:val="30"/>
          <w:lang w:val="en-US" w:eastAsia="zh-CN"/>
        </w:rPr>
        <w:t>本意见自公布之日起实施，有效期五年。法律另有规定的，总局和省局另有规定的，从其规定。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both"/>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附件：湛江市市场监管领域轻微违法行为免罚清单。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00" w:firstLineChars="200"/>
        <w:jc w:val="both"/>
        <w:textAlignment w:val="auto"/>
        <w:rPr>
          <w:rFonts w:hint="eastAsia" w:ascii="CESI仿宋-GB18030" w:hAnsi="CESI仿宋-GB18030" w:eastAsia="CESI仿宋-GB18030" w:cs="CESI仿宋-GB18030"/>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CESI仿宋-GB18030" w:hAnsi="CESI仿宋-GB18030" w:eastAsia="CESI仿宋-GB18030" w:cs="CESI仿宋-GB18030"/>
          <w:b w:val="0"/>
          <w:bCs w:val="0"/>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CESI仿宋-GB18030" w:hAnsi="CESI仿宋-GB18030" w:eastAsia="CESI仿宋-GB18030" w:cs="CESI仿宋-GB18030"/>
          <w:b w:val="0"/>
          <w:bCs w:val="0"/>
          <w:sz w:val="30"/>
          <w:szCs w:val="30"/>
          <w:lang w:val="en-US" w:eastAsia="zh-CN"/>
        </w:rPr>
      </w:pPr>
      <w:r>
        <w:rPr>
          <w:rFonts w:hint="eastAsia" w:ascii="CESI仿宋-GB18030" w:hAnsi="CESI仿宋-GB18030" w:eastAsia="CESI仿宋-GB18030" w:cs="CESI仿宋-GB18030"/>
          <w:b w:val="0"/>
          <w:bCs w:val="0"/>
          <w:sz w:val="30"/>
          <w:szCs w:val="30"/>
          <w:lang w:val="en-US" w:eastAsia="zh-CN"/>
        </w:rPr>
        <w:t>湛江市市场监督管理局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00" w:firstLineChars="2100"/>
        <w:jc w:val="both"/>
        <w:textAlignment w:val="auto"/>
        <w:rPr>
          <w:rFonts w:hint="eastAsia"/>
          <w:sz w:val="30"/>
          <w:szCs w:val="30"/>
          <w:lang w:val="en-US" w:eastAsia="zh-CN"/>
        </w:rPr>
      </w:pPr>
      <w:r>
        <w:rPr>
          <w:rFonts w:hint="eastAsia" w:ascii="CESI仿宋-GB18030" w:hAnsi="CESI仿宋-GB18030" w:eastAsia="CESI仿宋-GB18030" w:cs="CESI仿宋-GB18030"/>
          <w:b w:val="0"/>
          <w:bCs w:val="0"/>
          <w:sz w:val="30"/>
          <w:szCs w:val="30"/>
          <w:lang w:val="en-US" w:eastAsia="zh-CN"/>
        </w:rPr>
        <w:t>2021年  月  日</w:t>
      </w:r>
    </w:p>
    <w:p>
      <w:pPr>
        <w:keepNext/>
        <w:keepLines/>
        <w:pageBreakBefore w:val="0"/>
        <w:widowControl w:val="0"/>
        <w:kinsoku/>
        <w:wordWrap/>
        <w:overflowPunct/>
        <w:topLinePunct w:val="0"/>
        <w:autoSpaceDE/>
        <w:autoSpaceDN/>
        <w:bidi w:val="0"/>
        <w:adjustRightInd/>
        <w:snapToGrid/>
        <w:spacing w:line="240" w:lineRule="auto"/>
        <w:jc w:val="both"/>
        <w:textAlignment w:val="auto"/>
        <w:outlineLvl w:val="2"/>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w:t>
      </w:r>
    </w:p>
    <w:p>
      <w:pPr>
        <w:keepNext/>
        <w:keepLines/>
        <w:pageBreakBefore w:val="0"/>
        <w:widowControl w:val="0"/>
        <w:kinsoku/>
        <w:wordWrap/>
        <w:overflowPunct/>
        <w:topLinePunct w:val="0"/>
        <w:autoSpaceDE/>
        <w:autoSpaceDN/>
        <w:bidi w:val="0"/>
        <w:adjustRightInd/>
        <w:snapToGrid/>
        <w:spacing w:line="240" w:lineRule="auto"/>
        <w:jc w:val="both"/>
        <w:textAlignment w:val="auto"/>
        <w:outlineLvl w:val="2"/>
        <w:rPr>
          <w:rFonts w:hint="eastAsia" w:ascii="黑体" w:hAnsi="黑体" w:eastAsia="黑体" w:cs="黑体"/>
          <w:b w:val="0"/>
          <w:bCs w:val="0"/>
          <w:sz w:val="28"/>
          <w:szCs w:val="28"/>
          <w:lang w:val="en-US" w:eastAsia="zh-CN"/>
        </w:rPr>
      </w:pPr>
    </w:p>
    <w:p>
      <w:pPr>
        <w:keepNext/>
        <w:keepLines/>
        <w:pageBreakBefore w:val="0"/>
        <w:widowControl w:val="0"/>
        <w:kinsoku/>
        <w:wordWrap/>
        <w:overflowPunct/>
        <w:topLinePunct w:val="0"/>
        <w:autoSpaceDE/>
        <w:autoSpaceDN/>
        <w:bidi w:val="0"/>
        <w:adjustRightInd/>
        <w:snapToGrid/>
        <w:spacing w:after="181" w:afterLines="50" w:line="240" w:lineRule="auto"/>
        <w:jc w:val="center"/>
        <w:textAlignment w:val="auto"/>
        <w:outlineLvl w:val="2"/>
        <w:rPr>
          <w:rFonts w:hint="eastAsia" w:ascii="方正小标宋简体" w:hAnsi="方正小标宋简体" w:eastAsia="方正小标宋简体" w:cs="方正小标宋简体"/>
          <w:sz w:val="44"/>
          <w:szCs w:val="44"/>
          <w:lang w:val="zh-TW" w:eastAsia="zh-TW" w:bidi="zh-TW"/>
        </w:rPr>
      </w:pPr>
      <w:r>
        <w:rPr>
          <w:rFonts w:hint="eastAsia" w:ascii="方正小标宋简体" w:hAnsi="方正小标宋简体" w:eastAsia="方正小标宋简体" w:cs="方正小标宋简体"/>
          <w:b w:val="0"/>
          <w:bCs w:val="0"/>
          <w:sz w:val="44"/>
          <w:szCs w:val="44"/>
          <w:lang w:val="en-US" w:eastAsia="zh-CN"/>
        </w:rPr>
        <w:t>湛江市市场监管领域轻微违法行为免罚清单</w:t>
      </w:r>
    </w:p>
    <w:tbl>
      <w:tblPr>
        <w:tblStyle w:val="4"/>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9"/>
        <w:gridCol w:w="2594"/>
        <w:gridCol w:w="2280"/>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1" w:hRule="exact"/>
          <w:jc w:val="center"/>
        </w:trPr>
        <w:tc>
          <w:tcPr>
            <w:tcW w:w="499" w:type="dxa"/>
            <w:shd w:val="clear" w:color="auto" w:fill="FFFFFF"/>
            <w:noWrap w:val="0"/>
            <w:vAlign w:val="center"/>
          </w:tcPr>
          <w:p>
            <w:pPr>
              <w:jc w:val="left"/>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594" w:type="dxa"/>
            <w:shd w:val="clear" w:color="auto" w:fill="FFFFFF"/>
            <w:noWrap w:val="0"/>
            <w:vAlign w:val="center"/>
          </w:tcPr>
          <w:p>
            <w:pPr>
              <w:ind w:firstLine="480"/>
              <w:jc w:val="left"/>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280" w:type="dxa"/>
            <w:shd w:val="clear" w:color="auto" w:fill="FFFFFF"/>
            <w:noWrap w:val="0"/>
            <w:vAlign w:val="center"/>
          </w:tcPr>
          <w:p>
            <w:pPr>
              <w:jc w:val="left"/>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544" w:type="dxa"/>
            <w:shd w:val="clear" w:color="auto" w:fill="FFFFFF"/>
            <w:noWrap w:val="0"/>
            <w:vAlign w:val="center"/>
          </w:tcPr>
          <w:p>
            <w:pPr>
              <w:jc w:val="left"/>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89" w:hRule="exact"/>
          <w:jc w:val="center"/>
        </w:trPr>
        <w:tc>
          <w:tcPr>
            <w:tcW w:w="499" w:type="dxa"/>
            <w:shd w:val="clear" w:color="auto" w:fill="FFFFFF"/>
            <w:noWrap w:val="0"/>
            <w:vAlign w:val="center"/>
          </w:tcPr>
          <w:p>
            <w:pPr>
              <w:ind w:firstLine="180"/>
              <w:rPr>
                <w:rFonts w:ascii="宋体" w:hAnsi="宋体" w:eastAsia="宋体" w:cs="宋体"/>
                <w:color w:val="auto"/>
                <w:lang w:val="zh-TW" w:eastAsia="zh-TW" w:bidi="zh-TW"/>
              </w:rPr>
            </w:pPr>
            <w:r>
              <w:rPr>
                <w:color w:val="auto"/>
                <w:lang w:val="zh-TW" w:eastAsia="zh-TW" w:bidi="zh-TW"/>
              </w:rPr>
              <w:t>1</w:t>
            </w:r>
          </w:p>
        </w:tc>
        <w:tc>
          <w:tcPr>
            <w:tcW w:w="2594"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违反《无证无照经营查处办 法》第二条，经营者未依法取 得营业执照从事经营活动</w:t>
            </w:r>
          </w:p>
        </w:tc>
        <w:tc>
          <w:tcPr>
            <w:tcW w:w="228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color w:val="auto"/>
                <w:sz w:val="20"/>
                <w:szCs w:val="20"/>
                <w:lang w:val="en-US" w:eastAsia="zh-CN" w:bidi="zh-TW"/>
              </w:rPr>
            </w:pPr>
            <w:r>
              <w:rPr>
                <w:rFonts w:hint="eastAsia" w:ascii="宋体" w:hAnsi="宋体" w:eastAsia="宋体" w:cs="宋体"/>
                <w:color w:val="auto"/>
                <w:sz w:val="20"/>
                <w:szCs w:val="20"/>
                <w:lang w:val="zh-TW" w:eastAsia="zh-CN" w:bidi="zh-TW"/>
              </w:rPr>
              <w:t>首次被发现，</w:t>
            </w:r>
            <w:r>
              <w:rPr>
                <w:rFonts w:ascii="宋体" w:hAnsi="宋体" w:eastAsia="宋体" w:cs="宋体"/>
                <w:color w:val="auto"/>
                <w:sz w:val="20"/>
                <w:szCs w:val="20"/>
                <w:lang w:val="zh-TW" w:eastAsia="zh-TW" w:bidi="zh-TW"/>
              </w:rPr>
              <w:t>没有造成危害后果</w:t>
            </w:r>
            <w:r>
              <w:rPr>
                <w:rFonts w:hint="eastAsia"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已提交申请营业执照材料</w:t>
            </w:r>
            <w:r>
              <w:rPr>
                <w:rFonts w:hint="eastAsia" w:ascii="宋体" w:hAnsi="宋体" w:eastAsia="宋体" w:cs="宋体"/>
                <w:color w:val="auto"/>
                <w:sz w:val="20"/>
                <w:szCs w:val="20"/>
                <w:lang w:val="zh-TW" w:eastAsia="zh-CN" w:bidi="zh-TW"/>
              </w:rPr>
              <w:t>和符合办照条件</w:t>
            </w:r>
            <w:r>
              <w:rPr>
                <w:rFonts w:ascii="宋体" w:hAnsi="宋体" w:eastAsia="宋体" w:cs="宋体"/>
                <w:color w:val="auto"/>
                <w:sz w:val="20"/>
                <w:szCs w:val="20"/>
                <w:lang w:val="zh-TW" w:eastAsia="zh-TW" w:bidi="zh-TW"/>
              </w:rPr>
              <w:t>的</w:t>
            </w:r>
            <w:r>
              <w:rPr>
                <w:rFonts w:hint="eastAsia" w:ascii="宋体" w:hAnsi="宋体" w:eastAsia="宋体" w:cs="宋体"/>
                <w:color w:val="auto"/>
                <w:sz w:val="20"/>
                <w:szCs w:val="20"/>
                <w:lang w:val="zh-TW" w:eastAsia="zh-CN" w:bidi="zh-TW"/>
              </w:rPr>
              <w:t>；首次被发现，不涉及人身、财产安全、公共安全的行业，及时改正，没有造成危害后果的</w:t>
            </w:r>
            <w:r>
              <w:rPr>
                <w:rFonts w:hint="eastAsia" w:ascii="宋体" w:hAnsi="宋体" w:cs="宋体"/>
                <w:color w:val="auto"/>
                <w:sz w:val="20"/>
                <w:szCs w:val="20"/>
                <w:lang w:val="zh-TW" w:eastAsia="zh-CN" w:bidi="zh-TW"/>
              </w:rPr>
              <w:t>。</w:t>
            </w:r>
          </w:p>
        </w:tc>
        <w:tc>
          <w:tcPr>
            <w:tcW w:w="4544" w:type="dxa"/>
            <w:shd w:val="clear" w:color="auto" w:fill="FFFFFF"/>
            <w:noWrap w:val="0"/>
            <w:vAlign w:val="center"/>
          </w:tcPr>
          <w:p>
            <w:pPr>
              <w:spacing w:line="361"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《无证无照经营查处办法》第十三条， 从事无照经营的，由工商行政管理部门依照相关法律、行政法规的规定予以处罚。法律、行政法规对无照经营的处罚 没有明确规定的，由工商行政管理部门 令停止违法行为，没收违法所得，并</w:t>
            </w:r>
            <w:r>
              <w:rPr>
                <w:color w:val="auto"/>
                <w:lang w:val="zh-TW" w:eastAsia="zh-TW" w:bidi="zh-TW"/>
              </w:rPr>
              <w:t>1</w:t>
            </w:r>
            <w:r>
              <w:rPr>
                <w:rFonts w:ascii="宋体" w:hAnsi="宋体" w:eastAsia="宋体" w:cs="宋体"/>
                <w:color w:val="auto"/>
                <w:sz w:val="20"/>
                <w:szCs w:val="20"/>
                <w:lang w:val="zh-TW" w:eastAsia="zh-TW" w:bidi="zh-TW"/>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70" w:hRule="exact"/>
          <w:jc w:val="center"/>
        </w:trPr>
        <w:tc>
          <w:tcPr>
            <w:tcW w:w="499" w:type="dxa"/>
            <w:shd w:val="clear" w:color="auto" w:fill="FFFFFF"/>
            <w:noWrap w:val="0"/>
            <w:vAlign w:val="center"/>
          </w:tcPr>
          <w:p>
            <w:pPr>
              <w:jc w:val="center"/>
              <w:rPr>
                <w:rFonts w:ascii="宋体" w:hAnsi="宋体" w:eastAsia="宋体" w:cs="宋体"/>
                <w:color w:val="auto"/>
                <w:lang w:val="zh-TW" w:eastAsia="zh-TW" w:bidi="zh-TW"/>
              </w:rPr>
            </w:pPr>
            <w:r>
              <w:rPr>
                <w:color w:val="auto"/>
                <w:lang w:val="zh-TW" w:eastAsia="zh-TW" w:bidi="zh-TW"/>
              </w:rPr>
              <w:t>2</w:t>
            </w:r>
          </w:p>
        </w:tc>
        <w:tc>
          <w:tcPr>
            <w:tcW w:w="2594"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违反《中华人民共和国公司 法》第七条第三款、《中华人 民共和国合伙企业法》第十三 条、《中华人民共和国个人独 资企业法》第十五条、《个体 工商户条例》第十条、《农民 专业合作社登记管理条例》第 二十条等相关规定，登记事项 发生变更时未依法办理有关 变更登记</w:t>
            </w:r>
          </w:p>
        </w:tc>
        <w:tc>
          <w:tcPr>
            <w:tcW w:w="228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责令限期登记后 在要求期限内及 时登记的</w:t>
            </w:r>
          </w:p>
        </w:tc>
        <w:tc>
          <w:tcPr>
            <w:tcW w:w="4544"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《中华人民共和国公司法》第二百一十 一条第二款，公司登记事项发生变更时未依照本法规定办理有关变更登记的， 由公司登记机关责令限期登记；逾期不登记的，处以一万元以上十万元以下的</w:t>
            </w:r>
            <w:r>
              <w:rPr>
                <w:rFonts w:ascii="宋体" w:hAnsi="宋体" w:eastAsia="宋体" w:cs="宋体"/>
                <w:color w:val="auto"/>
                <w:sz w:val="20"/>
                <w:szCs w:val="20"/>
                <w:lang w:val="zh-CN" w:eastAsia="zh-CN" w:bidi="zh-CN"/>
              </w:rPr>
              <w:t>罚款。</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《中华人民共和国合伙企业法》第九十 五条第二款,合伙企业登记事项发生变更时，未依照本法规定办理变更登记的, 由企业登记机关责令限期登记；逾期不登记的，处以二干元以上二万元以下的罚款。</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《中华人民共和国个人独资企业法》第 三十七条第二款，个人独资企业登记事 项发生变更时,未按本法规定办理有关变更登记的，责令限期办理变更登记； 逾期不办理的，处以二千元以下的罚款。</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《个体工商户条例》第二十三条第一款, 个体工商户登记事项变更,未办理变更 登记的，由登记机关责令改正，处</w:t>
            </w:r>
            <w:r>
              <w:rPr>
                <w:color w:val="auto"/>
                <w:lang w:val="zh-TW" w:eastAsia="zh-TW" w:bidi="zh-TW"/>
              </w:rPr>
              <w:t xml:space="preserve">1500 </w:t>
            </w:r>
            <w:r>
              <w:rPr>
                <w:rFonts w:ascii="宋体" w:hAnsi="宋体" w:eastAsia="宋体" w:cs="宋体"/>
                <w:color w:val="auto"/>
                <w:sz w:val="20"/>
                <w:szCs w:val="20"/>
                <w:lang w:val="zh-TW" w:eastAsia="zh-TW" w:bidi="zh-TW"/>
              </w:rPr>
              <w:t>元以下的罚款</w:t>
            </w:r>
            <w:r>
              <w:rPr>
                <w:rFonts w:ascii="宋体" w:hAnsi="宋体" w:eastAsia="宋体" w:cs="宋体"/>
                <w:i/>
                <w:iCs/>
                <w:color w:val="auto"/>
                <w:sz w:val="20"/>
                <w:szCs w:val="20"/>
                <w:lang w:val="zh-TW" w:eastAsia="zh-TW" w:bidi="zh-TW"/>
              </w:rPr>
              <w:t>；</w:t>
            </w:r>
            <w:r>
              <w:rPr>
                <w:rFonts w:ascii="宋体" w:hAnsi="宋体" w:eastAsia="宋体" w:cs="宋体"/>
                <w:color w:val="auto"/>
                <w:sz w:val="20"/>
                <w:szCs w:val="20"/>
                <w:lang w:val="zh-TW" w:eastAsia="zh-TW" w:bidi="zh-TW"/>
              </w:rPr>
              <w:t>情节严重的，吊销营业执照。</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《农民专业合作社登记管理条例》第二 十七条第一项，农民专业合作社有下列 行为之一的，由登记机关责令改正;情节严重的，吊销营业执照：（一）登记事项发生变更，未申请变更登记的。</w:t>
            </w:r>
          </w:p>
        </w:tc>
      </w:tr>
    </w:tbl>
    <w:p>
      <w:pPr>
        <w:rPr>
          <w:lang w:eastAsia="zh-CN"/>
        </w:rPr>
        <w:sectPr>
          <w:headerReference r:id="rId3" w:type="default"/>
          <w:footerReference r:id="rId4" w:type="default"/>
          <w:pgSz w:w="11900" w:h="16840"/>
          <w:pgMar w:top="2098" w:right="1587" w:bottom="1871" w:left="1587" w:header="0" w:footer="850" w:gutter="0"/>
          <w:pgNumType w:fmt="numberInDash"/>
          <w:cols w:space="0" w:num="1"/>
          <w:rtlGutter w:val="0"/>
          <w:docGrid w:linePitch="360" w:charSpace="0"/>
        </w:sect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37"/>
        <w:gridCol w:w="2454"/>
        <w:gridCol w:w="2244"/>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94" w:hRule="exact"/>
          <w:jc w:val="center"/>
        </w:trPr>
        <w:tc>
          <w:tcPr>
            <w:tcW w:w="437"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454" w:type="dxa"/>
            <w:shd w:val="clear" w:color="auto" w:fill="FFFFFF"/>
            <w:noWrap w:val="0"/>
            <w:vAlign w:val="center"/>
          </w:tcPr>
          <w:p>
            <w:pPr>
              <w:ind w:firstLine="460"/>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244"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503"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75" w:hRule="exact"/>
          <w:jc w:val="center"/>
        </w:trPr>
        <w:tc>
          <w:tcPr>
            <w:tcW w:w="437" w:type="dxa"/>
            <w:shd w:val="clear" w:color="auto" w:fill="FFFFFF"/>
            <w:noWrap w:val="0"/>
            <w:vAlign w:val="center"/>
          </w:tcPr>
          <w:p>
            <w:pPr>
              <w:ind w:firstLine="180"/>
              <w:rPr>
                <w:rFonts w:ascii="宋体" w:hAnsi="宋体" w:eastAsia="宋体" w:cs="宋体"/>
                <w:color w:val="auto"/>
                <w:lang w:val="zh-TW" w:eastAsia="zh-CN" w:bidi="zh-TW"/>
              </w:rPr>
            </w:pPr>
            <w:r>
              <w:rPr>
                <w:rFonts w:hint="eastAsia" w:eastAsia="宋体"/>
                <w:color w:val="auto"/>
                <w:lang w:val="zh-TW" w:eastAsia="zh-CN" w:bidi="zh-TW"/>
              </w:rPr>
              <w:t>3</w:t>
            </w:r>
          </w:p>
        </w:tc>
        <w:tc>
          <w:tcPr>
            <w:tcW w:w="2454"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违反《企业法人登记</w:t>
            </w:r>
            <w:r>
              <w:rPr>
                <w:rFonts w:hint="eastAsia" w:eastAsia="宋体"/>
                <w:color w:val="auto"/>
                <w:lang w:eastAsia="zh-CN"/>
              </w:rPr>
              <w:t>管理</w:t>
            </w:r>
            <w:r>
              <w:rPr>
                <w:rFonts w:ascii="宋体" w:hAnsi="宋体" w:eastAsia="宋体" w:cs="宋体"/>
                <w:color w:val="auto"/>
                <w:sz w:val="20"/>
                <w:szCs w:val="20"/>
                <w:lang w:val="zh-TW" w:eastAsia="zh-TW" w:bidi="zh-TW"/>
              </w:rPr>
              <w:t>条 例》第二十条等相关规定，企 业法人未按规定向登记主管 机关办理注销登记</w:t>
            </w:r>
          </w:p>
        </w:tc>
        <w:tc>
          <w:tcPr>
            <w:tcW w:w="2244"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责令限期办理后 及时办理的</w:t>
            </w:r>
          </w:p>
        </w:tc>
        <w:tc>
          <w:tcPr>
            <w:tcW w:w="4503"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企业法人登记管理条例》第二十九条第一款第（三项）,企业法人有下列情形之一的,登记主管机关可以根職况分别给予警告、罚款、没收非法所得、停业整顿、扣缴、吊销《企业法人营业执照》的处罚：（三）不按照规定办理注销登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73" w:hRule="exact"/>
          <w:jc w:val="center"/>
        </w:trPr>
        <w:tc>
          <w:tcPr>
            <w:tcW w:w="437" w:type="dxa"/>
            <w:shd w:val="clear" w:color="auto" w:fill="FFFFFF"/>
            <w:noWrap w:val="0"/>
            <w:vAlign w:val="center"/>
          </w:tcPr>
          <w:p>
            <w:pPr>
              <w:ind w:firstLine="180"/>
              <w:rPr>
                <w:rFonts w:ascii="宋体" w:hAnsi="宋体" w:eastAsia="宋体" w:cs="宋体"/>
                <w:color w:val="auto"/>
                <w:lang w:val="zh-TW" w:eastAsia="zh-CN" w:bidi="zh-TW"/>
              </w:rPr>
            </w:pPr>
            <w:r>
              <w:rPr>
                <w:rFonts w:hint="eastAsia" w:eastAsia="宋体"/>
                <w:color w:val="auto"/>
                <w:lang w:val="zh-TW" w:eastAsia="zh-CN" w:bidi="zh-TW"/>
              </w:rPr>
              <w:t>4</w:t>
            </w:r>
          </w:p>
        </w:tc>
        <w:tc>
          <w:tcPr>
            <w:tcW w:w="2454" w:type="dxa"/>
            <w:shd w:val="clear" w:color="auto" w:fill="FFFFFF"/>
            <w:noWrap w:val="0"/>
            <w:vAlign w:val="center"/>
          </w:tcPr>
          <w:p>
            <w:pPr>
              <w:spacing w:line="35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违反《公司登记管理条例》第 三十六条、第三十七条、第四</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十条、</w:t>
            </w:r>
            <w:r>
              <w:rPr>
                <w:rFonts w:hint="eastAsia" w:ascii="宋体" w:hAnsi="宋体" w:eastAsia="宋体" w:cs="宋体"/>
                <w:color w:val="auto"/>
                <w:sz w:val="20"/>
                <w:szCs w:val="20"/>
                <w:lang w:val="zh-TW" w:eastAsia="zh-CN" w:bidi="zh-TW"/>
              </w:rPr>
              <w:t>第</w:t>
            </w:r>
            <w:r>
              <w:rPr>
                <w:rFonts w:ascii="宋体" w:hAnsi="宋体" w:eastAsia="宋体" w:cs="宋体"/>
                <w:color w:val="auto"/>
                <w:sz w:val="20"/>
                <w:szCs w:val="20"/>
                <w:lang w:val="zh-TW" w:eastAsia="zh-TW" w:bidi="zh-TW"/>
              </w:rPr>
              <w:t>四十七条</w:t>
            </w:r>
            <w:r>
              <w:rPr>
                <w:rFonts w:hint="eastAsia" w:ascii="宋体" w:hAnsi="宋体" w:eastAsia="宋体" w:cs="宋体"/>
                <w:color w:val="auto"/>
                <w:sz w:val="20"/>
                <w:szCs w:val="20"/>
                <w:lang w:val="zh-TW" w:eastAsia="zh-CN" w:bidi="zh-TW"/>
              </w:rPr>
              <w:t>第</w:t>
            </w:r>
            <w:r>
              <w:rPr>
                <w:rFonts w:ascii="宋体" w:hAnsi="宋体" w:eastAsia="宋体" w:cs="宋体"/>
                <w:color w:val="auto"/>
                <w:sz w:val="20"/>
                <w:szCs w:val="20"/>
                <w:lang w:val="zh-TW" w:eastAsia="zh-TW" w:bidi="zh-TW"/>
              </w:rPr>
              <w:t>四</w:t>
            </w:r>
            <w:r>
              <w:rPr>
                <w:rFonts w:hint="eastAsia" w:ascii="宋体" w:hAnsi="宋体" w:eastAsia="宋体" w:cs="宋体"/>
                <w:color w:val="auto"/>
                <w:sz w:val="20"/>
                <w:szCs w:val="20"/>
                <w:lang w:val="zh-TW" w:eastAsia="zh-CN" w:bidi="zh-TW"/>
              </w:rPr>
              <w:t>款</w:t>
            </w:r>
            <w:r>
              <w:rPr>
                <w:rFonts w:ascii="宋体" w:hAnsi="宋体" w:eastAsia="宋体" w:cs="宋体"/>
                <w:color w:val="auto"/>
                <w:sz w:val="20"/>
                <w:szCs w:val="20"/>
                <w:lang w:val="zh-TW" w:eastAsia="zh-TW" w:bidi="zh-TW"/>
              </w:rPr>
              <w:t>、 《合伙企业登记管理办法》第 二十一条、《农民专业合作社登记管理条例》第二十二条第 一款、第二十三条规定，未依法办理相关备案</w:t>
            </w:r>
          </w:p>
        </w:tc>
        <w:tc>
          <w:tcPr>
            <w:tcW w:w="2244"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责令限期办理后 及时办理的</w:t>
            </w:r>
          </w:p>
        </w:tc>
        <w:tc>
          <w:tcPr>
            <w:tcW w:w="4503"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《公司登记管理条例》第六十八条第二款，公司未依照本条例规定办理有关备案的，由公司登记机关责令限期办理; 逾期未办理的处以</w:t>
            </w:r>
            <w:r>
              <w:rPr>
                <w:color w:val="auto"/>
                <w:lang w:val="zh-TW" w:eastAsia="zh-TW" w:bidi="zh-TW"/>
              </w:rPr>
              <w:t>3</w:t>
            </w:r>
            <w:r>
              <w:rPr>
                <w:rFonts w:ascii="宋体" w:hAnsi="宋体" w:eastAsia="宋体" w:cs="宋体"/>
                <w:color w:val="auto"/>
                <w:sz w:val="20"/>
                <w:szCs w:val="20"/>
                <w:lang w:val="zh-TW" w:eastAsia="zh-TW" w:bidi="zh-TW"/>
              </w:rPr>
              <w:t>万元以下的罚款。</w:t>
            </w:r>
          </w:p>
          <w:p>
            <w:pPr>
              <w:spacing w:line="358" w:lineRule="exact"/>
              <w:jc w:val="both"/>
              <w:rPr>
                <w:rFonts w:ascii="宋体" w:hAnsi="宋体" w:eastAsia="宋体" w:cs="宋体"/>
                <w:color w:val="auto"/>
                <w:sz w:val="20"/>
                <w:szCs w:val="20"/>
                <w:lang w:val="zh-TW" w:eastAsia="zh-CN" w:bidi="zh-TW"/>
              </w:rPr>
            </w:pPr>
            <w:r>
              <w:rPr>
                <w:rFonts w:ascii="宋体" w:hAnsi="宋体" w:eastAsia="宋体" w:cs="宋体"/>
                <w:color w:val="auto"/>
                <w:sz w:val="20"/>
                <w:szCs w:val="20"/>
                <w:lang w:val="zh-TW" w:eastAsia="zh-TW" w:bidi="zh-TW"/>
              </w:rPr>
              <w:t>《</w:t>
            </w:r>
            <w:r>
              <w:rPr>
                <w:rFonts w:hint="eastAsia" w:ascii="宋体" w:hAnsi="宋体" w:eastAsia="宋体" w:cs="宋体"/>
                <w:color w:val="auto"/>
                <w:sz w:val="20"/>
                <w:szCs w:val="20"/>
                <w:lang w:val="zh-TW" w:eastAsia="zh-CN" w:bidi="zh-TW"/>
              </w:rPr>
              <w:t>合伙人企业登记管理办法</w:t>
            </w:r>
            <w:r>
              <w:rPr>
                <w:rFonts w:ascii="宋体" w:hAnsi="宋体" w:eastAsia="宋体" w:cs="宋体"/>
                <w:color w:val="auto"/>
                <w:sz w:val="20"/>
                <w:szCs w:val="20"/>
                <w:lang w:val="zh-TW" w:eastAsia="zh-TW" w:bidi="zh-TW"/>
              </w:rPr>
              <w:t>》</w:t>
            </w:r>
            <w:r>
              <w:rPr>
                <w:rFonts w:hint="eastAsia" w:ascii="宋体" w:hAnsi="宋体" w:eastAsia="宋体" w:cs="宋体"/>
                <w:color w:val="auto"/>
                <w:sz w:val="20"/>
                <w:szCs w:val="20"/>
                <w:lang w:val="zh-TW" w:eastAsia="zh-CN" w:bidi="zh-TW"/>
              </w:rPr>
              <w:t>第四十一条</w:t>
            </w:r>
          </w:p>
          <w:p>
            <w:pPr>
              <w:spacing w:line="363"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合伙企业未依照本办法规定办理清算人成员名单备案的，由企业登记机关责令限期办理；逾期未办理的，处</w:t>
            </w:r>
            <w:r>
              <w:rPr>
                <w:color w:val="auto"/>
                <w:lang w:val="zh-TW" w:eastAsia="zh-TW" w:bidi="zh-TW"/>
              </w:rPr>
              <w:t>2000</w:t>
            </w:r>
            <w:r>
              <w:rPr>
                <w:rFonts w:ascii="宋体" w:hAnsi="宋体" w:eastAsia="宋体" w:cs="宋体"/>
                <w:color w:val="auto"/>
                <w:sz w:val="20"/>
                <w:szCs w:val="20"/>
                <w:lang w:val="zh-TW" w:eastAsia="zh-TW" w:bidi="zh-TW"/>
              </w:rPr>
              <w:t>元 以下的罚款。</w:t>
            </w:r>
          </w:p>
          <w:p>
            <w:pPr>
              <w:spacing w:line="363"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《农民专业合作社登记管理条例》第二十八条，农民专业合作社有下列行为之 一的，由登记机关责令改正：（一）未依法将修</w:t>
            </w:r>
            <w:r>
              <w:rPr>
                <w:rFonts w:ascii="宋体" w:hAnsi="宋体" w:eastAsia="宋体" w:cs="宋体"/>
                <w:sz w:val="20"/>
                <w:szCs w:val="20"/>
                <w:lang w:val="zh-TW" w:eastAsia="zh-TW" w:bidi="zh-TW"/>
              </w:rPr>
              <w:t>改后的成员名册报送登记机关备案的；（二）未依法将修改后的章程 或者章程修正案报送登记机关备案的。</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054" w:tblpY="158"/>
        <w:tblOverlap w:val="never"/>
        <w:tblW w:w="95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4"/>
        <w:gridCol w:w="2771"/>
        <w:gridCol w:w="1905"/>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494"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71" w:type="dxa"/>
            <w:shd w:val="clear" w:color="auto" w:fill="FFFFFF"/>
            <w:noWrap w:val="0"/>
            <w:vAlign w:val="center"/>
          </w:tcPr>
          <w:p>
            <w:pPr>
              <w:ind w:firstLine="480"/>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190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39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9" w:hRule="exact"/>
        </w:trPr>
        <w:tc>
          <w:tcPr>
            <w:tcW w:w="494" w:type="dxa"/>
            <w:shd w:val="clear" w:color="auto" w:fill="FFFFFF"/>
            <w:noWrap w:val="0"/>
            <w:vAlign w:val="center"/>
          </w:tcPr>
          <w:p>
            <w:pPr>
              <w:ind w:firstLine="180"/>
              <w:rPr>
                <w:rFonts w:ascii="宋体" w:hAnsi="宋体" w:eastAsia="宋体" w:cs="宋体"/>
                <w:color w:val="auto"/>
                <w:lang w:val="zh-TW" w:eastAsia="zh-CN" w:bidi="zh-TW"/>
              </w:rPr>
            </w:pPr>
            <w:r>
              <w:rPr>
                <w:rFonts w:hint="eastAsia" w:eastAsia="宋体"/>
                <w:color w:val="auto"/>
                <w:lang w:val="zh-TW" w:eastAsia="zh-CN" w:bidi="zh-TW"/>
              </w:rPr>
              <w:t>5</w:t>
            </w:r>
          </w:p>
        </w:tc>
        <w:tc>
          <w:tcPr>
            <w:tcW w:w="2771" w:type="dxa"/>
            <w:shd w:val="clear" w:color="auto" w:fill="FFFFFF"/>
            <w:noWrap w:val="0"/>
            <w:vAlign w:val="center"/>
          </w:tcPr>
          <w:p>
            <w:pPr>
              <w:spacing w:line="359"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违反《公司登记管理条例》第 五十八条第三款、《合伙企业 登记管理办法》第三十三条第 四款、《个人独资企业登记管理办法》第三十条、《个体工商户登记管理办法》第二十五条等规定未将营业执照置于住所或者营业场所醒目位置或不按规定悬挂的</w:t>
            </w:r>
          </w:p>
        </w:tc>
        <w:tc>
          <w:tcPr>
            <w:tcW w:w="1905"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 及时改正的</w:t>
            </w:r>
          </w:p>
        </w:tc>
        <w:tc>
          <w:tcPr>
            <w:tcW w:w="4395" w:type="dxa"/>
            <w:shd w:val="clear" w:color="auto" w:fill="FFFFFF"/>
            <w:noWrap w:val="0"/>
            <w:vAlign w:val="top"/>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《公司登记管理条例》第七十二条，未将营业执照置于住所或者营业场所醒目位置的，由公司登记机关责令改正;拒不改正的，处以</w:t>
            </w:r>
            <w:r>
              <w:rPr>
                <w:color w:val="auto"/>
                <w:lang w:val="zh-TW" w:eastAsia="zh-TW" w:bidi="zh-TW"/>
              </w:rPr>
              <w:t>1000</w:t>
            </w:r>
            <w:r>
              <w:rPr>
                <w:rFonts w:ascii="宋体" w:hAnsi="宋体" w:eastAsia="宋体" w:cs="宋体"/>
                <w:color w:val="auto"/>
                <w:sz w:val="20"/>
                <w:szCs w:val="20"/>
                <w:lang w:val="zh-TW" w:eastAsia="zh-TW" w:bidi="zh-TW"/>
              </w:rPr>
              <w:t>元以上</w:t>
            </w:r>
            <w:r>
              <w:rPr>
                <w:color w:val="auto"/>
                <w:lang w:val="zh-TW" w:eastAsia="zh-TW" w:bidi="zh-TW"/>
              </w:rPr>
              <w:t>5000</w:t>
            </w:r>
            <w:r>
              <w:rPr>
                <w:rFonts w:ascii="宋体" w:hAnsi="宋体" w:eastAsia="宋体" w:cs="宋体"/>
                <w:color w:val="auto"/>
                <w:sz w:val="20"/>
                <w:szCs w:val="20"/>
                <w:lang w:val="zh-TW" w:eastAsia="zh-TW" w:bidi="zh-TW"/>
              </w:rPr>
              <w:t>元以下的罚款。</w:t>
            </w:r>
          </w:p>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《合伙企业登记管理办法》第四十三条合伙企业未将其营业执照正本置放在经营场所醒目位置的，由企业登记机关责令改正；拒不改正的，处</w:t>
            </w:r>
            <w:r>
              <w:rPr>
                <w:color w:val="auto"/>
                <w:lang w:val="zh-TW" w:eastAsia="zh-TW" w:bidi="zh-TW"/>
              </w:rPr>
              <w:t>1000</w:t>
            </w:r>
            <w:r>
              <w:rPr>
                <w:rFonts w:ascii="宋体" w:hAnsi="宋体" w:eastAsia="宋体" w:cs="宋体"/>
                <w:color w:val="auto"/>
                <w:sz w:val="20"/>
                <w:szCs w:val="20"/>
                <w:lang w:val="zh-TW" w:eastAsia="zh-TW" w:bidi="zh-TW"/>
              </w:rPr>
              <w:t xml:space="preserve">元以上 </w:t>
            </w:r>
            <w:r>
              <w:rPr>
                <w:color w:val="auto"/>
                <w:lang w:val="zh-TW" w:eastAsia="zh-TW" w:bidi="zh-TW"/>
              </w:rPr>
              <w:t>5000</w:t>
            </w:r>
            <w:r>
              <w:rPr>
                <w:rFonts w:ascii="宋体" w:hAnsi="宋体" w:eastAsia="宋体" w:cs="宋体"/>
                <w:color w:val="auto"/>
                <w:sz w:val="20"/>
                <w:szCs w:val="20"/>
                <w:lang w:val="zh-TW" w:eastAsia="zh-TW" w:bidi="zh-TW"/>
              </w:rPr>
              <w:t>元以下的罚款。</w:t>
            </w:r>
          </w:p>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 xml:space="preserve">《个人独资企业登记管理办法》第三十七条，个人独资企业未将营业执照正本置放在企业住所醒目位置的，由登记机关责令限期改正；逾期不改正的，处以 </w:t>
            </w:r>
            <w:r>
              <w:rPr>
                <w:color w:val="auto"/>
                <w:lang w:val="zh-TW" w:eastAsia="zh-TW" w:bidi="zh-TW"/>
              </w:rPr>
              <w:t>500</w:t>
            </w:r>
            <w:r>
              <w:rPr>
                <w:rFonts w:ascii="宋体" w:hAnsi="宋体" w:eastAsia="宋体" w:cs="宋体"/>
                <w:color w:val="auto"/>
                <w:sz w:val="20"/>
                <w:szCs w:val="20"/>
                <w:lang w:val="zh-TW" w:eastAsia="zh-TW" w:bidi="zh-TW"/>
              </w:rPr>
              <w:t>元以下的罚款。</w:t>
            </w:r>
          </w:p>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《个体工商户登记管理办法》第三十七条，个体工商户违反本办法第二十五条规定的，由登记机关责令限期改正；逾期未改正的，处</w:t>
            </w:r>
            <w:r>
              <w:rPr>
                <w:color w:val="auto"/>
                <w:lang w:val="zh-TW" w:eastAsia="zh-TW" w:bidi="zh-TW"/>
              </w:rPr>
              <w:t>500</w:t>
            </w:r>
            <w:r>
              <w:rPr>
                <w:rFonts w:ascii="宋体" w:hAnsi="宋体" w:eastAsia="宋体" w:cs="宋体"/>
                <w:color w:val="auto"/>
                <w:sz w:val="20"/>
                <w:szCs w:val="20"/>
                <w:lang w:val="zh-TW" w:eastAsia="zh-TW" w:bidi="zh-TW"/>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3" w:hRule="exact"/>
        </w:trPr>
        <w:tc>
          <w:tcPr>
            <w:tcW w:w="494" w:type="dxa"/>
            <w:shd w:val="clear" w:color="auto" w:fill="FFFFFF"/>
            <w:noWrap w:val="0"/>
            <w:vAlign w:val="center"/>
          </w:tcPr>
          <w:p>
            <w:pPr>
              <w:ind w:firstLine="180"/>
              <w:rPr>
                <w:rFonts w:ascii="宋体" w:hAnsi="宋体" w:eastAsia="宋体" w:cs="宋体"/>
                <w:color w:val="auto"/>
                <w:lang w:val="zh-TW" w:eastAsia="zh-CN" w:bidi="zh-TW"/>
              </w:rPr>
            </w:pPr>
            <w:r>
              <w:rPr>
                <w:rFonts w:hint="eastAsia" w:eastAsia="宋体"/>
                <w:color w:val="auto"/>
                <w:lang w:val="zh-TW" w:eastAsia="zh-CN" w:bidi="zh-TW"/>
              </w:rPr>
              <w:t>6</w:t>
            </w:r>
          </w:p>
        </w:tc>
        <w:tc>
          <w:tcPr>
            <w:tcW w:w="2771"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未依法登记为有限责任公司 或者股份有限公司，而冒用有 限责任公司或股份有限公司 名义</w:t>
            </w:r>
          </w:p>
        </w:tc>
        <w:tc>
          <w:tcPr>
            <w:tcW w:w="1905"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 及时改正的</w:t>
            </w:r>
          </w:p>
        </w:tc>
        <w:tc>
          <w:tcPr>
            <w:tcW w:w="4395" w:type="dxa"/>
            <w:shd w:val="clear" w:color="auto" w:fill="FFFFFF"/>
            <w:noWrap w:val="0"/>
            <w:vAlign w:val="top"/>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《中华人民共和国公司法》第二百一十条，由公司登记机关责令改正或者予以取缔，可以并处十万以下的罚款。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63" w:hRule="exact"/>
        </w:trPr>
        <w:tc>
          <w:tcPr>
            <w:tcW w:w="494" w:type="dxa"/>
            <w:shd w:val="clear" w:color="auto" w:fill="FFFFFF"/>
            <w:noWrap w:val="0"/>
            <w:vAlign w:val="center"/>
          </w:tcPr>
          <w:p>
            <w:pPr>
              <w:ind w:firstLine="180"/>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7</w:t>
            </w:r>
          </w:p>
        </w:tc>
        <w:tc>
          <w:tcPr>
            <w:tcW w:w="2771" w:type="dxa"/>
            <w:shd w:val="clear" w:color="auto" w:fill="FFFFFF"/>
            <w:noWrap w:val="0"/>
            <w:vAlign w:val="center"/>
          </w:tcPr>
          <w:p>
            <w:pPr>
              <w:spacing w:line="367"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企业或者其他经济组织未经 核准登记，擅自设立不需要相 关审批;许可的分支机构</w:t>
            </w:r>
          </w:p>
        </w:tc>
        <w:tc>
          <w:tcPr>
            <w:tcW w:w="1905"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首次被发现,没 有造成危害后 果，</w:t>
            </w:r>
            <w:r>
              <w:rPr>
                <w:rFonts w:hint="eastAsia" w:ascii="宋体" w:hAnsi="宋体" w:eastAsia="宋体" w:cs="宋体"/>
                <w:color w:val="auto"/>
                <w:sz w:val="20"/>
                <w:szCs w:val="20"/>
                <w:lang w:val="zh-TW" w:eastAsia="zh-CN" w:bidi="zh-TW"/>
              </w:rPr>
              <w:t>立即改正或者</w:t>
            </w:r>
            <w:r>
              <w:rPr>
                <w:rFonts w:ascii="宋体" w:hAnsi="宋体" w:eastAsia="宋体" w:cs="宋体"/>
                <w:color w:val="auto"/>
                <w:sz w:val="20"/>
                <w:szCs w:val="20"/>
                <w:lang w:val="zh-TW" w:eastAsia="zh-TW" w:bidi="zh-TW"/>
              </w:rPr>
              <w:t>责令限期改</w:t>
            </w:r>
            <w:r>
              <w:rPr>
                <w:rFonts w:hint="eastAsia" w:ascii="宋体" w:hAnsi="宋体" w:eastAsia="宋体" w:cs="宋体"/>
                <w:color w:val="auto"/>
                <w:sz w:val="20"/>
                <w:szCs w:val="20"/>
                <w:lang w:val="zh-TW" w:eastAsia="zh-CN" w:bidi="zh-TW"/>
              </w:rPr>
              <w:t>责令改正后及时改正的</w:t>
            </w:r>
          </w:p>
        </w:tc>
        <w:tc>
          <w:tcPr>
            <w:tcW w:w="4395" w:type="dxa"/>
            <w:shd w:val="clear" w:color="auto" w:fill="FFFFFF"/>
            <w:noWrap w:val="0"/>
            <w:vAlign w:val="top"/>
          </w:tcPr>
          <w:p>
            <w:pPr>
              <w:spacing w:line="363"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《企业法人登记管理条例》第三十四条, 企业法人设立不能独立承担民事责任的 分支机构</w:t>
            </w:r>
            <w:r>
              <w:rPr>
                <w:rFonts w:ascii="宋体" w:hAnsi="宋体" w:eastAsia="宋体" w:cs="宋体"/>
                <w:i/>
                <w:iCs/>
                <w:color w:val="auto"/>
                <w:sz w:val="20"/>
                <w:szCs w:val="20"/>
                <w:lang w:val="zh-TW" w:eastAsia="zh-TW" w:bidi="zh-TW"/>
              </w:rPr>
              <w:t>，</w:t>
            </w:r>
            <w:r>
              <w:rPr>
                <w:rFonts w:ascii="宋体" w:hAnsi="宋体" w:eastAsia="宋体" w:cs="宋体"/>
                <w:color w:val="auto"/>
                <w:sz w:val="20"/>
                <w:szCs w:val="20"/>
                <w:lang w:val="zh-TW" w:eastAsia="zh-TW" w:bidi="zh-TW"/>
              </w:rPr>
              <w:t>由该企业法人申请登记，经登记主管机关核准，领取《营业执照》, 在核准登记的经营范围内从事经营活 动。</w:t>
            </w:r>
          </w:p>
          <w:p>
            <w:pPr>
              <w:spacing w:line="363"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根据国家有关规定,由国家核拨经费的事业单位、科技性的社会团体从事经营活动或者设立不具备法人条件的企业, 由该单位申请登记，经登记主管机关核 准，领取《营业执照》，在核准登记的经营范围内从事经营活动。</w:t>
            </w:r>
          </w:p>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具体登记管理参照本条例的规定执行。</w:t>
            </w:r>
          </w:p>
        </w:tc>
      </w:tr>
    </w:tbl>
    <w:p>
      <w:pPr>
        <w:spacing w:line="1" w:lineRule="exact"/>
        <w:rPr>
          <w:sz w:val="2"/>
          <w:szCs w:val="2"/>
        </w:rPr>
      </w:pPr>
      <w:r>
        <w:br w:type="page"/>
      </w:r>
    </w:p>
    <w:tbl>
      <w:tblPr>
        <w:tblStyle w:val="4"/>
        <w:tblpPr w:leftFromText="180" w:rightFromText="180" w:vertAnchor="text" w:horzAnchor="page" w:tblpX="1234" w:tblpY="86"/>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00"/>
        <w:gridCol w:w="2711"/>
        <w:gridCol w:w="1892"/>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45" w:hRule="exact"/>
        </w:trPr>
        <w:tc>
          <w:tcPr>
            <w:tcW w:w="50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11"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1892"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39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69" w:hRule="exact"/>
        </w:trPr>
        <w:tc>
          <w:tcPr>
            <w:tcW w:w="500" w:type="dxa"/>
            <w:shd w:val="clear" w:color="auto" w:fill="FFFFFF"/>
            <w:noWrap w:val="0"/>
            <w:vAlign w:val="center"/>
          </w:tcPr>
          <w:p>
            <w:pPr>
              <w:jc w:val="cente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8</w:t>
            </w:r>
          </w:p>
        </w:tc>
        <w:tc>
          <w:tcPr>
            <w:tcW w:w="2711"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w:t>
            </w:r>
            <w:r>
              <w:rPr>
                <w:rFonts w:hint="eastAsia" w:ascii="宋体" w:hAnsi="宋体" w:eastAsia="宋体" w:cs="宋体"/>
                <w:color w:val="auto"/>
                <w:sz w:val="20"/>
                <w:szCs w:val="20"/>
                <w:lang w:val="zh-TW" w:eastAsia="zh-CN" w:bidi="zh-TW"/>
              </w:rPr>
              <w:t>外</w:t>
            </w:r>
            <w:r>
              <w:rPr>
                <w:rFonts w:ascii="宋体" w:hAnsi="宋体" w:eastAsia="宋体" w:cs="宋体"/>
                <w:color w:val="auto"/>
                <w:sz w:val="20"/>
                <w:szCs w:val="20"/>
                <w:lang w:val="zh-TW" w:eastAsia="zh-TW" w:bidi="zh-TW"/>
              </w:rPr>
              <w:t>国企业常驻代表机构 登记管理条例》第十四条规 定从事第十四条规定业务活 动以外活动</w:t>
            </w:r>
          </w:p>
        </w:tc>
        <w:tc>
          <w:tcPr>
            <w:tcW w:w="1892" w:type="dxa"/>
            <w:shd w:val="clear" w:color="auto" w:fill="FFFFFF"/>
            <w:noWrap w:val="0"/>
            <w:vAlign w:val="center"/>
          </w:tcPr>
          <w:p>
            <w:pPr>
              <w:spacing w:line="35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395"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《外国企业常驻代表机构登记管理条例》第三十七条,代表机构违反本条例第十四条规定从事业务活动以外活动的，由登记机关责令限期改正；逾期未 改正的，处以</w:t>
            </w:r>
            <w:r>
              <w:rPr>
                <w:color w:val="auto"/>
                <w:lang w:val="zh-TW" w:eastAsia="zh-TW" w:bidi="zh-TW"/>
              </w:rPr>
              <w:t>1</w:t>
            </w:r>
            <w:r>
              <w:rPr>
                <w:rFonts w:ascii="宋体" w:hAnsi="宋体" w:eastAsia="宋体" w:cs="宋体"/>
                <w:color w:val="auto"/>
                <w:sz w:val="20"/>
                <w:szCs w:val="20"/>
                <w:lang w:val="zh-TW" w:eastAsia="zh-TW" w:bidi="zh-TW"/>
              </w:rPr>
              <w:t>万元以上</w:t>
            </w:r>
            <w:r>
              <w:rPr>
                <w:color w:val="auto"/>
                <w:lang w:val="zh-TW" w:eastAsia="zh-TW" w:bidi="zh-TW"/>
              </w:rPr>
              <w:t>10</w:t>
            </w:r>
            <w:r>
              <w:rPr>
                <w:rFonts w:ascii="宋体" w:hAnsi="宋体" w:eastAsia="宋体" w:cs="宋体"/>
                <w:color w:val="auto"/>
                <w:sz w:val="20"/>
                <w:szCs w:val="20"/>
                <w:lang w:val="zh-TW" w:eastAsia="zh-TW" w:bidi="zh-TW"/>
              </w:rPr>
              <w:t>万元以下的罚款；情节严重的，吊销登记证。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6" w:hRule="exact"/>
        </w:trPr>
        <w:tc>
          <w:tcPr>
            <w:tcW w:w="500"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color w:val="auto"/>
                <w:lang w:val="en-US" w:eastAsia="zh-CN" w:bidi="zh-TW"/>
              </w:rPr>
              <w:t>9</w:t>
            </w:r>
          </w:p>
        </w:tc>
        <w:tc>
          <w:tcPr>
            <w:tcW w:w="2711" w:type="dxa"/>
            <w:shd w:val="clear" w:color="auto" w:fill="FFFFFF"/>
            <w:noWrap w:val="0"/>
            <w:vAlign w:val="top"/>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未按照国家规定建立健全广告业务管理制度或者未对广 告内容进行核对</w:t>
            </w:r>
          </w:p>
        </w:tc>
        <w:tc>
          <w:tcPr>
            <w:tcW w:w="1892" w:type="dxa"/>
            <w:shd w:val="clear" w:color="auto" w:fill="FFFFFF"/>
            <w:noWrap w:val="0"/>
            <w:vAlign w:val="top"/>
          </w:tcPr>
          <w:p>
            <w:pPr>
              <w:spacing w:line="36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首次被发现且及时改正未造成危害后果的</w:t>
            </w:r>
          </w:p>
        </w:tc>
        <w:tc>
          <w:tcPr>
            <w:tcW w:w="4395" w:type="dxa"/>
            <w:shd w:val="clear" w:color="auto" w:fill="FFFFFF"/>
            <w:noWrap w:val="0"/>
            <w:vAlign w:val="top"/>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《中华人民共和国广告法》第六十一条第一款，违反本法第三十四条规定，由市场监督管理部门责令改正,可以处五万元以下罚款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1" w:hRule="exact"/>
        </w:trPr>
        <w:tc>
          <w:tcPr>
            <w:tcW w:w="500" w:type="dxa"/>
            <w:shd w:val="clear" w:color="auto" w:fill="FFFFFF"/>
            <w:noWrap w:val="0"/>
            <w:vAlign w:val="center"/>
          </w:tcPr>
          <w:p>
            <w:pPr>
              <w:rPr>
                <w:rFonts w:ascii="宋体" w:hAnsi="宋体" w:eastAsia="宋体" w:cs="宋体"/>
                <w:color w:val="auto"/>
                <w:kern w:val="2"/>
                <w:sz w:val="21"/>
                <w:szCs w:val="24"/>
                <w:lang w:val="zh-TW" w:eastAsia="zh-TW" w:bidi="zh-TW"/>
              </w:rPr>
            </w:pPr>
            <w:r>
              <w:rPr>
                <w:color w:val="auto"/>
                <w:lang w:val="zh-TW" w:eastAsia="zh-TW" w:bidi="zh-TW"/>
              </w:rPr>
              <w:t>1</w:t>
            </w:r>
            <w:r>
              <w:rPr>
                <w:rFonts w:hint="eastAsia"/>
                <w:color w:val="auto"/>
                <w:lang w:val="en-US" w:eastAsia="zh-CN" w:bidi="zh-TW"/>
              </w:rPr>
              <w:t>0</w:t>
            </w:r>
          </w:p>
        </w:tc>
        <w:tc>
          <w:tcPr>
            <w:tcW w:w="2711"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广告引证内容合法有据，但未 在广告中表明出处的轻微违 法行为</w:t>
            </w:r>
          </w:p>
        </w:tc>
        <w:tc>
          <w:tcPr>
            <w:tcW w:w="1892"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首次被发现,及时纠正，没有造成危害后果的</w:t>
            </w:r>
          </w:p>
        </w:tc>
        <w:tc>
          <w:tcPr>
            <w:tcW w:w="4395" w:type="dxa"/>
            <w:shd w:val="clear" w:color="auto" w:fill="FFFFFF"/>
            <w:noWrap w:val="0"/>
            <w:vAlign w:val="center"/>
          </w:tcPr>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《中华人民共和国广告法》第五十九条第一款，有下列行为之一的，由市场监督管理部门责令停止发布广告，对广告主处十万元以下的罚款：（二）广告引证内容违反本法第十一条规定的。</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174" w:tblpY="100"/>
        <w:tblOverlap w:val="never"/>
        <w:tblW w:w="9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4"/>
        <w:gridCol w:w="2831"/>
        <w:gridCol w:w="1830"/>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494"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831" w:type="dxa"/>
            <w:shd w:val="clear" w:color="auto" w:fill="FFFFFF"/>
            <w:noWrap w:val="0"/>
            <w:vAlign w:val="center"/>
          </w:tcPr>
          <w:p>
            <w:pPr>
              <w:ind w:firstLine="48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183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30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trPr>
        <w:tc>
          <w:tcPr>
            <w:tcW w:w="494" w:type="dxa"/>
            <w:shd w:val="clear" w:color="auto" w:fill="FFFFFF"/>
            <w:noWrap w:val="0"/>
            <w:vAlign w:val="center"/>
          </w:tcPr>
          <w:p>
            <w:pPr>
              <w:rPr>
                <w:rFonts w:ascii="宋体" w:hAnsi="宋体" w:eastAsia="宋体" w:cs="宋体"/>
                <w:color w:val="auto"/>
                <w:lang w:val="zh-TW" w:eastAsia="zh-CN" w:bidi="zh-TW"/>
              </w:rPr>
            </w:pPr>
            <w:r>
              <w:rPr>
                <w:color w:val="auto"/>
                <w:lang w:val="zh-TW" w:eastAsia="zh-TW" w:bidi="zh-TW"/>
              </w:rPr>
              <w:t>1</w:t>
            </w:r>
            <w:r>
              <w:rPr>
                <w:rFonts w:hint="eastAsia"/>
                <w:color w:val="auto"/>
                <w:lang w:val="en-US" w:eastAsia="zh-CN" w:bidi="zh-TW"/>
              </w:rPr>
              <w:t>1</w:t>
            </w:r>
          </w:p>
        </w:tc>
        <w:tc>
          <w:tcPr>
            <w:tcW w:w="2831"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广告中涉及专利产品或者专利方法未标明专利号或者专利种类</w:t>
            </w:r>
          </w:p>
        </w:tc>
        <w:tc>
          <w:tcPr>
            <w:tcW w:w="1830"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专利有效,及时纠正，没有造成危害后果的</w:t>
            </w:r>
          </w:p>
        </w:tc>
        <w:tc>
          <w:tcPr>
            <w:tcW w:w="4305"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《中华人民共和国广告法》第五十九条第一款，有下列行为之一的，由市场监督管理部门责令停止发布广告,对广告主处十万元以下的罚款：（三）涉及专利的广告违反本法第十二条规定的;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8" w:hRule="exact"/>
        </w:trPr>
        <w:tc>
          <w:tcPr>
            <w:tcW w:w="494" w:type="dxa"/>
            <w:shd w:val="clear" w:color="auto" w:fill="FFFFFF"/>
            <w:noWrap w:val="0"/>
            <w:vAlign w:val="center"/>
          </w:tcPr>
          <w:p>
            <w:pPr>
              <w:rPr>
                <w:rFonts w:ascii="宋体" w:hAnsi="宋体" w:eastAsia="宋体" w:cs="宋体"/>
                <w:color w:val="auto"/>
                <w:lang w:val="zh-TW" w:eastAsia="zh-CN" w:bidi="zh-TW"/>
              </w:rPr>
            </w:pPr>
            <w:r>
              <w:rPr>
                <w:color w:val="auto"/>
                <w:lang w:val="zh-TW" w:eastAsia="zh-TW" w:bidi="zh-TW"/>
              </w:rPr>
              <w:t>1</w:t>
            </w:r>
            <w:r>
              <w:rPr>
                <w:rFonts w:hint="eastAsia"/>
                <w:color w:val="auto"/>
                <w:lang w:val="en-US" w:eastAsia="zh-CN" w:bidi="zh-TW"/>
              </w:rPr>
              <w:t>2</w:t>
            </w:r>
          </w:p>
        </w:tc>
        <w:tc>
          <w:tcPr>
            <w:tcW w:w="2831"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发布获奖的商品广告未注明获奖级别和颁奖部门标明优质产品称号商品广告未标明 授予称号的时间和部门</w:t>
            </w:r>
          </w:p>
        </w:tc>
        <w:tc>
          <w:tcPr>
            <w:tcW w:w="183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确实获奖和取得称号,及时改正并提供有关证明材料</w:t>
            </w:r>
          </w:p>
        </w:tc>
        <w:tc>
          <w:tcPr>
            <w:tcW w:w="4305"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《广告管理条例》第十一条、二项所列行为，《广告管理条例施行细则》第二十六条第二款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8" w:hRule="exact"/>
        </w:trPr>
        <w:tc>
          <w:tcPr>
            <w:tcW w:w="494" w:type="dxa"/>
            <w:shd w:val="clear" w:color="auto" w:fill="FFFFFF"/>
            <w:noWrap w:val="0"/>
            <w:vAlign w:val="center"/>
          </w:tcPr>
          <w:p>
            <w:pPr>
              <w:rPr>
                <w:rFonts w:ascii="宋体" w:hAnsi="宋体" w:eastAsia="宋体" w:cs="宋体"/>
                <w:lang w:val="zh-TW" w:eastAsia="zh-CN" w:bidi="zh-TW"/>
              </w:rPr>
            </w:pPr>
            <w:r>
              <w:rPr>
                <w:lang w:val="zh-TW" w:eastAsia="zh-TW" w:bidi="zh-TW"/>
              </w:rPr>
              <w:t>1</w:t>
            </w:r>
            <w:r>
              <w:rPr>
                <w:rFonts w:hint="eastAsia"/>
                <w:lang w:val="en-US" w:eastAsia="zh-CN" w:bidi="zh-TW"/>
              </w:rPr>
              <w:t>3</w:t>
            </w:r>
          </w:p>
        </w:tc>
        <w:tc>
          <w:tcPr>
            <w:tcW w:w="2831" w:type="dxa"/>
            <w:shd w:val="clear" w:color="auto" w:fill="FFFFFF"/>
            <w:noWrap w:val="0"/>
            <w:vAlign w:val="center"/>
          </w:tcPr>
          <w:p>
            <w:pPr>
              <w:spacing w:line="362" w:lineRule="exact"/>
              <w:jc w:val="both"/>
              <w:rPr>
                <w:rFonts w:ascii="宋体" w:hAnsi="宋体" w:eastAsia="宋体" w:cs="宋体"/>
                <w:sz w:val="20"/>
                <w:szCs w:val="20"/>
                <w:lang w:val="zh-TW" w:eastAsia="zh-TW" w:bidi="zh-TW"/>
              </w:rPr>
            </w:pPr>
            <w:r>
              <w:rPr>
                <w:rFonts w:ascii="宋体" w:hAnsi="宋体" w:eastAsia="宋体" w:cs="宋体"/>
                <w:sz w:val="20"/>
                <w:szCs w:val="20"/>
                <w:lang w:val="zh-TW" w:eastAsia="zh-TW" w:bidi="zh-TW"/>
              </w:rPr>
              <w:t>发布房地产预售或者销售广告未载明预售或者销售许可证书号</w:t>
            </w:r>
          </w:p>
        </w:tc>
        <w:tc>
          <w:tcPr>
            <w:tcW w:w="1830" w:type="dxa"/>
            <w:shd w:val="clear" w:color="auto" w:fill="FFFFFF"/>
            <w:noWrap w:val="0"/>
            <w:vAlign w:val="center"/>
          </w:tcPr>
          <w:p>
            <w:pPr>
              <w:spacing w:line="370" w:lineRule="exact"/>
              <w:jc w:val="both"/>
              <w:rPr>
                <w:rFonts w:ascii="宋体" w:hAnsi="宋体" w:eastAsia="宋体" w:cs="宋体"/>
                <w:sz w:val="20"/>
                <w:szCs w:val="20"/>
                <w:lang w:val="zh-TW" w:eastAsia="zh-TW" w:bidi="zh-TW"/>
              </w:rPr>
            </w:pPr>
            <w:r>
              <w:rPr>
                <w:rFonts w:ascii="宋体" w:hAnsi="宋体" w:eastAsia="宋体" w:cs="宋体"/>
                <w:sz w:val="20"/>
                <w:szCs w:val="20"/>
                <w:lang w:val="zh-TW" w:eastAsia="zh-TW" w:bidi="zh-TW"/>
              </w:rPr>
              <w:t>已取得预售或者销售许可证书,首次被发现，立即自行改正或在</w:t>
            </w:r>
            <w:r>
              <w:rPr>
                <w:rFonts w:ascii="宋体" w:hAnsi="宋体" w:eastAsia="宋体" w:cs="宋体"/>
                <w:color w:val="auto"/>
                <w:sz w:val="20"/>
                <w:szCs w:val="20"/>
                <w:lang w:val="zh-TW" w:eastAsia="zh-TW" w:bidi="zh-TW"/>
              </w:rPr>
              <w:t>行政机关责令改 正的期限内改正，没有造成危害后果的</w:t>
            </w:r>
          </w:p>
        </w:tc>
        <w:tc>
          <w:tcPr>
            <w:tcW w:w="4305" w:type="dxa"/>
            <w:shd w:val="clear" w:color="auto" w:fill="FFFFFF"/>
            <w:noWrap w:val="0"/>
            <w:vAlign w:val="top"/>
          </w:tcPr>
          <w:p>
            <w:pPr>
              <w:spacing w:line="360" w:lineRule="exact"/>
              <w:jc w:val="both"/>
              <w:rPr>
                <w:rFonts w:ascii="宋体" w:hAnsi="宋体" w:eastAsia="宋体" w:cs="宋体"/>
                <w:sz w:val="20"/>
                <w:szCs w:val="20"/>
                <w:lang w:val="zh-TW" w:eastAsia="zh-TW" w:bidi="zh-TW"/>
              </w:rPr>
            </w:pPr>
            <w:r>
              <w:rPr>
                <w:rFonts w:ascii="宋体" w:hAnsi="宋体" w:eastAsia="宋体" w:cs="宋体"/>
                <w:sz w:val="20"/>
                <w:szCs w:val="20"/>
                <w:lang w:val="zh-TW" w:eastAsia="zh-TW" w:bidi="zh-TW"/>
              </w:rPr>
              <w:t>《房地产广告发布规定》第七条第一款, 房地产预售、销售广告，必须载明以下事项：（三）预售或者销售许可证书号。</w:t>
            </w:r>
          </w:p>
          <w:p>
            <w:pPr>
              <w:spacing w:line="360" w:lineRule="exact"/>
              <w:jc w:val="both"/>
              <w:rPr>
                <w:rFonts w:ascii="宋体" w:hAnsi="宋体" w:eastAsia="宋体" w:cs="宋体"/>
                <w:sz w:val="20"/>
                <w:szCs w:val="20"/>
                <w:lang w:val="zh-TW" w:eastAsia="zh-TW" w:bidi="zh-TW"/>
              </w:rPr>
            </w:pPr>
            <w:r>
              <w:rPr>
                <w:rFonts w:ascii="宋体" w:hAnsi="宋体" w:eastAsia="宋体" w:cs="宋体"/>
                <w:sz w:val="20"/>
                <w:szCs w:val="20"/>
                <w:lang w:val="zh-TW" w:eastAsia="zh-TW" w:bidi="zh-TW"/>
              </w:rPr>
              <w:t>《房地产广告发布规定》第二十一条，</w:t>
            </w:r>
            <w:r>
              <w:rPr>
                <w:rFonts w:ascii="宋体" w:hAnsi="宋体" w:eastAsia="宋体" w:cs="宋体"/>
                <w:color w:val="auto"/>
                <w:sz w:val="20"/>
                <w:szCs w:val="20"/>
                <w:lang w:val="zh-TW" w:eastAsia="zh-TW" w:bidi="zh-TW"/>
              </w:rPr>
              <w:t>违反本规定发布广告，《中华人民共和国广告法》及其他法律法规有规定的, 依照有关法律法规规定予以处罚。法律法规没有规定的，对负有责任的广告主、 广告经营者、广告发布者，处以违法所得三倍以下但不超过三万元的罚款；没 有违法所得的，处以一万元以下的罚款。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3" w:hRule="exact"/>
        </w:trPr>
        <w:tc>
          <w:tcPr>
            <w:tcW w:w="494" w:type="dxa"/>
            <w:shd w:val="clear" w:color="auto" w:fill="FFFFFF"/>
            <w:noWrap w:val="0"/>
            <w:vAlign w:val="center"/>
          </w:tcPr>
          <w:p>
            <w:pPr>
              <w:rPr>
                <w:rFonts w:ascii="宋体" w:hAnsi="宋体" w:eastAsia="宋体" w:cs="宋体"/>
                <w:color w:val="auto"/>
                <w:kern w:val="2"/>
                <w:sz w:val="21"/>
                <w:szCs w:val="24"/>
                <w:lang w:val="zh-TW" w:eastAsia="zh-TW" w:bidi="zh-TW"/>
              </w:rPr>
            </w:pPr>
            <w:r>
              <w:rPr>
                <w:color w:val="auto"/>
                <w:lang w:val="zh-TW" w:eastAsia="zh-TW" w:bidi="zh-TW"/>
              </w:rPr>
              <w:t>1</w:t>
            </w:r>
            <w:r>
              <w:rPr>
                <w:rFonts w:hint="eastAsia"/>
                <w:color w:val="auto"/>
                <w:lang w:val="en-US" w:eastAsia="zh-CN" w:bidi="zh-TW"/>
              </w:rPr>
              <w:t>4</w:t>
            </w:r>
          </w:p>
        </w:tc>
        <w:tc>
          <w:tcPr>
            <w:tcW w:w="2831" w:type="dxa"/>
            <w:shd w:val="clear" w:color="auto" w:fill="FFFFFF"/>
            <w:noWrap w:val="0"/>
            <w:vAlign w:val="center"/>
          </w:tcPr>
          <w:p>
            <w:pPr>
              <w:spacing w:after="120"/>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广告发布单位不按规定报送《广告业统计报表》的</w:t>
            </w:r>
          </w:p>
        </w:tc>
        <w:tc>
          <w:tcPr>
            <w:tcW w:w="1830"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立即自行改正或在行政机关责令改正的期限内改正的</w:t>
            </w:r>
          </w:p>
        </w:tc>
        <w:tc>
          <w:tcPr>
            <w:tcW w:w="4305"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《广告发布登记管理规定》第十五条第四款广告发布单位不按规定报送《广告 业统计报表》的，由工商行政管理部门予以警告，责令改正;拒不改正的，处一万元以下罚款。</w:t>
            </w:r>
          </w:p>
        </w:tc>
      </w:tr>
    </w:tbl>
    <w:p>
      <w:pPr>
        <w:rPr>
          <w:lang w:eastAsia="zh-CN"/>
        </w:rPr>
        <w:sectPr>
          <w:footerReference r:id="rId7" w:type="first"/>
          <w:footerReference r:id="rId5" w:type="default"/>
          <w:footerReference r:id="rId6" w:type="even"/>
          <w:pgSz w:w="11900" w:h="16840"/>
          <w:pgMar w:top="2041" w:right="1266" w:bottom="1845" w:left="1556" w:header="0" w:footer="3" w:gutter="0"/>
          <w:pgNumType w:fmt="numberInDash"/>
          <w:cols w:space="720" w:num="1"/>
          <w:titlePg/>
          <w:docGrid w:linePitch="360" w:charSpace="0"/>
        </w:sectPr>
      </w:pPr>
    </w:p>
    <w:tbl>
      <w:tblPr>
        <w:tblStyle w:val="4"/>
        <w:tblpPr w:leftFromText="180" w:rightFromText="180" w:vertAnchor="text" w:horzAnchor="page" w:tblpX="1354" w:tblpY="172"/>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04"/>
        <w:gridCol w:w="2725"/>
        <w:gridCol w:w="2077"/>
        <w:gridCol w:w="4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55" w:hRule="exact"/>
        </w:trPr>
        <w:tc>
          <w:tcPr>
            <w:tcW w:w="504"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25" w:type="dxa"/>
            <w:shd w:val="clear" w:color="auto" w:fill="FFFFFF"/>
            <w:noWrap w:val="0"/>
            <w:vAlign w:val="center"/>
          </w:tcPr>
          <w:p>
            <w:pPr>
              <w:ind w:firstLine="48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77"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052"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4" w:hRule="exact"/>
        </w:trPr>
        <w:tc>
          <w:tcPr>
            <w:tcW w:w="504"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1</w:t>
            </w:r>
            <w:r>
              <w:rPr>
                <w:rFonts w:hint="eastAsia"/>
                <w:color w:val="auto"/>
                <w:sz w:val="20"/>
                <w:szCs w:val="20"/>
                <w:lang w:val="en-US" w:eastAsia="zh-CN" w:bidi="zh-TW"/>
              </w:rPr>
              <w:t>5</w:t>
            </w:r>
          </w:p>
        </w:tc>
        <w:tc>
          <w:tcPr>
            <w:tcW w:w="2725"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获得"驰名商标"认定或获保护记录，将"驰名商标”字样用于商品、商品包装或者容器上，或者用于广告宣传、展览以及其他商业活动中</w:t>
            </w:r>
          </w:p>
        </w:tc>
        <w:tc>
          <w:tcPr>
            <w:tcW w:w="2077"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首次被发现,立即自行改正或在行政机关责令改正的期限内改正,没有</w:t>
            </w:r>
            <w:r>
              <w:rPr>
                <w:rFonts w:hint="eastAsia" w:ascii="宋体" w:hAnsi="宋体" w:eastAsia="宋体" w:cs="宋体"/>
                <w:color w:val="auto"/>
                <w:sz w:val="20"/>
                <w:szCs w:val="20"/>
                <w:lang w:val="zh-TW" w:eastAsia="zh-CN" w:bidi="zh-TW"/>
              </w:rPr>
              <w:t>造成</w:t>
            </w:r>
            <w:r>
              <w:rPr>
                <w:rFonts w:ascii="宋体" w:hAnsi="宋体" w:eastAsia="宋体" w:cs="宋体"/>
                <w:color w:val="auto"/>
                <w:sz w:val="20"/>
                <w:szCs w:val="20"/>
                <w:lang w:val="zh-TW" w:eastAsia="zh-TW" w:bidi="zh-TW"/>
              </w:rPr>
              <w:t>危害后果的</w:t>
            </w:r>
          </w:p>
        </w:tc>
        <w:tc>
          <w:tcPr>
            <w:tcW w:w="4052"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《中华人民共和国商标法》第十四条第五款</w:t>
            </w:r>
          </w:p>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《中华人民共和国商标法》第五十三条违反本法第十四条第五款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01" w:hRule="exact"/>
        </w:trPr>
        <w:tc>
          <w:tcPr>
            <w:tcW w:w="504"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1</w:t>
            </w:r>
            <w:r>
              <w:rPr>
                <w:rFonts w:hint="eastAsia"/>
                <w:color w:val="auto"/>
                <w:lang w:val="en-US" w:eastAsia="zh-CN" w:bidi="zh-TW"/>
              </w:rPr>
              <w:t>6</w:t>
            </w:r>
          </w:p>
        </w:tc>
        <w:tc>
          <w:tcPr>
            <w:tcW w:w="2725" w:type="dxa"/>
            <w:shd w:val="clear" w:color="auto" w:fill="FFFFFF"/>
            <w:noWrap w:val="0"/>
            <w:vAlign w:val="center"/>
          </w:tcPr>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被许可使用他人注册商标未</w:t>
            </w:r>
          </w:p>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在</w:t>
            </w:r>
            <w:r>
              <w:rPr>
                <w:rFonts w:hint="eastAsia" w:ascii="宋体" w:hAnsi="宋体" w:eastAsia="宋体" w:cs="宋体"/>
                <w:color w:val="auto"/>
                <w:sz w:val="20"/>
                <w:szCs w:val="20"/>
                <w:lang w:val="zh-TW" w:eastAsia="zh-CN" w:bidi="zh-TW"/>
              </w:rPr>
              <w:t>商品</w:t>
            </w:r>
            <w:r>
              <w:rPr>
                <w:rFonts w:ascii="宋体" w:hAnsi="宋体" w:eastAsia="宋体" w:cs="宋体"/>
                <w:color w:val="auto"/>
                <w:sz w:val="20"/>
                <w:szCs w:val="20"/>
                <w:lang w:val="zh-TW" w:eastAsia="zh-TW" w:bidi="zh-TW"/>
              </w:rPr>
              <w:t>上标注被许可人的名</w:t>
            </w:r>
          </w:p>
          <w:p>
            <w:pPr>
              <w:spacing w:after="120"/>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称和商品产地</w:t>
            </w:r>
          </w:p>
        </w:tc>
        <w:tc>
          <w:tcPr>
            <w:tcW w:w="2077"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052" w:type="dxa"/>
            <w:shd w:val="clear" w:color="auto" w:fill="FFFFFF"/>
            <w:noWrap w:val="0"/>
            <w:vAlign w:val="center"/>
          </w:tcPr>
          <w:p>
            <w:pPr>
              <w:spacing w:line="394"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《中华人民共和国商标法》第四十三条 第二款《中华人民共和国商标法实施条例》第七十一条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67" w:hRule="exact"/>
        </w:trPr>
        <w:tc>
          <w:tcPr>
            <w:tcW w:w="504"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1</w:t>
            </w:r>
            <w:r>
              <w:rPr>
                <w:rFonts w:hint="eastAsia"/>
                <w:color w:val="auto"/>
                <w:sz w:val="20"/>
                <w:szCs w:val="20"/>
                <w:lang w:val="en-US" w:eastAsia="zh-CN" w:bidi="zh-TW"/>
              </w:rPr>
              <w:t>7</w:t>
            </w:r>
          </w:p>
        </w:tc>
        <w:tc>
          <w:tcPr>
            <w:tcW w:w="2725" w:type="dxa"/>
            <w:shd w:val="clear" w:color="auto" w:fill="FFFFFF"/>
            <w:noWrap w:val="0"/>
            <w:vAlign w:val="center"/>
          </w:tcPr>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销售不知道是侵犯注册商标</w:t>
            </w:r>
          </w:p>
          <w:p>
            <w:pPr>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专用权的商品</w:t>
            </w:r>
          </w:p>
        </w:tc>
        <w:tc>
          <w:tcPr>
            <w:tcW w:w="2077"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能证明该商品是自己合法取得并说明提供者，责令限期改正后及时改正的</w:t>
            </w:r>
          </w:p>
        </w:tc>
        <w:tc>
          <w:tcPr>
            <w:tcW w:w="4052"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《中华人民共和国商标法》第五十七条 第（三）项《中华人民共和国商标法实施条例》第八十条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24" w:hRule="exact"/>
        </w:trPr>
        <w:tc>
          <w:tcPr>
            <w:tcW w:w="504" w:type="dxa"/>
            <w:shd w:val="clear" w:color="auto" w:fill="FFFFFF"/>
            <w:noWrap w:val="0"/>
            <w:vAlign w:val="center"/>
          </w:tcPr>
          <w:p>
            <w:pPr>
              <w:rPr>
                <w:rFonts w:hint="default" w:ascii="宋体" w:hAnsi="宋体" w:eastAsia="宋体" w:cs="宋体"/>
                <w:color w:val="auto"/>
                <w:kern w:val="2"/>
                <w:sz w:val="20"/>
                <w:szCs w:val="20"/>
                <w:lang w:val="en-US" w:eastAsia="zh-CN" w:bidi="zh-TW"/>
              </w:rPr>
            </w:pPr>
            <w:r>
              <w:rPr>
                <w:rFonts w:hint="eastAsia"/>
                <w:color w:val="auto"/>
                <w:sz w:val="20"/>
                <w:szCs w:val="20"/>
                <w:lang w:val="en-US" w:eastAsia="zh-CN" w:bidi="zh-TW"/>
              </w:rPr>
              <w:t>18</w:t>
            </w:r>
          </w:p>
        </w:tc>
        <w:tc>
          <w:tcPr>
            <w:tcW w:w="2725" w:type="dxa"/>
            <w:shd w:val="clear" w:color="auto" w:fill="FFFFFF"/>
            <w:noWrap w:val="0"/>
            <w:vAlign w:val="center"/>
          </w:tcPr>
          <w:p>
            <w:pPr>
              <w:spacing w:line="360"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未经备案而许可他人使用自 己的注册商标的</w:t>
            </w:r>
          </w:p>
        </w:tc>
        <w:tc>
          <w:tcPr>
            <w:tcW w:w="2077"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初次违反，责令限期改正后及时改正的</w:t>
            </w:r>
          </w:p>
        </w:tc>
        <w:tc>
          <w:tcPr>
            <w:tcW w:w="4052" w:type="dxa"/>
            <w:shd w:val="clear" w:color="auto" w:fill="FFFFFF"/>
            <w:noWrap w:val="0"/>
            <w:vAlign w:val="center"/>
          </w:tcPr>
          <w:p>
            <w:pPr>
              <w:tabs>
                <w:tab w:val="left" w:pos="3024"/>
              </w:tabs>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《中华人民共和国商标法》第四十三条第三款</w:t>
            </w:r>
            <w:r>
              <w:rPr>
                <w:rFonts w:ascii="宋体" w:hAnsi="宋体" w:eastAsia="宋体" w:cs="宋体"/>
                <w:color w:val="auto"/>
                <w:sz w:val="20"/>
                <w:szCs w:val="20"/>
                <w:lang w:val="zh-TW" w:eastAsia="zh-TW" w:bidi="zh-TW"/>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72" w:hRule="exact"/>
        </w:trPr>
        <w:tc>
          <w:tcPr>
            <w:tcW w:w="504" w:type="dxa"/>
            <w:shd w:val="clear" w:color="auto" w:fill="FFFFFF"/>
            <w:noWrap w:val="0"/>
            <w:vAlign w:val="center"/>
          </w:tcPr>
          <w:p>
            <w:pPr>
              <w:rPr>
                <w:rFonts w:hint="default" w:ascii="宋体" w:hAnsi="宋体" w:eastAsia="宋体" w:cs="宋体"/>
                <w:color w:val="auto"/>
                <w:kern w:val="2"/>
                <w:sz w:val="21"/>
                <w:szCs w:val="24"/>
                <w:lang w:val="en-US" w:eastAsia="zh-CN" w:bidi="zh-TW"/>
              </w:rPr>
            </w:pPr>
            <w:r>
              <w:rPr>
                <w:rFonts w:hint="eastAsia"/>
                <w:color w:val="auto"/>
                <w:lang w:val="en-US" w:eastAsia="zh-CN" w:bidi="zh-TW"/>
              </w:rPr>
              <w:t>19</w:t>
            </w:r>
          </w:p>
        </w:tc>
        <w:tc>
          <w:tcPr>
            <w:tcW w:w="2725" w:type="dxa"/>
            <w:shd w:val="clear" w:color="auto" w:fill="FFFFFF"/>
            <w:noWrap w:val="0"/>
            <w:vAlign w:val="center"/>
          </w:tcPr>
          <w:p>
            <w:pPr>
              <w:spacing w:line="350"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电子商务经营者未在首页显 著位置持续公示营业执照信息</w:t>
            </w:r>
          </w:p>
        </w:tc>
        <w:tc>
          <w:tcPr>
            <w:tcW w:w="2077"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052" w:type="dxa"/>
            <w:shd w:val="clear" w:color="auto" w:fill="FFFFFF"/>
            <w:noWrap w:val="0"/>
            <w:vAlign w:val="bottom"/>
          </w:tcPr>
          <w:p>
            <w:pPr>
              <w:spacing w:line="368"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违反《中华人民共和国电子商务法》第 十五条,依据第七十六条第一款第二项 由市场监督管理部门责令限期改正,可以处二万元以上十万元以下的罚款。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50" w:hRule="exact"/>
        </w:trPr>
        <w:tc>
          <w:tcPr>
            <w:tcW w:w="504" w:type="dxa"/>
            <w:shd w:val="clear" w:color="auto" w:fill="FFFFFF"/>
            <w:noWrap w:val="0"/>
            <w:vAlign w:val="center"/>
          </w:tcPr>
          <w:p>
            <w:pPr>
              <w:rPr>
                <w:rFonts w:ascii="宋体" w:hAnsi="宋体" w:eastAsia="宋体" w:cs="宋体"/>
                <w:color w:val="auto"/>
                <w:kern w:val="2"/>
                <w:sz w:val="21"/>
                <w:szCs w:val="24"/>
                <w:lang w:val="zh-TW" w:eastAsia="zh-TW" w:bidi="zh-TW"/>
              </w:rPr>
            </w:pPr>
            <w:r>
              <w:rPr>
                <w:color w:val="auto"/>
                <w:lang w:val="zh-TW" w:eastAsia="zh-TW" w:bidi="zh-TW"/>
              </w:rPr>
              <w:t>2</w:t>
            </w:r>
            <w:r>
              <w:rPr>
                <w:rFonts w:hint="eastAsia"/>
                <w:color w:val="auto"/>
                <w:lang w:val="en-US" w:eastAsia="zh-CN" w:bidi="zh-TW"/>
              </w:rPr>
              <w:t>0</w:t>
            </w:r>
          </w:p>
        </w:tc>
        <w:tc>
          <w:tcPr>
            <w:tcW w:w="2725" w:type="dxa"/>
            <w:shd w:val="clear" w:color="auto" w:fill="FFFFFF"/>
            <w:noWrap w:val="0"/>
            <w:vAlign w:val="center"/>
          </w:tcPr>
          <w:p>
            <w:pPr>
              <w:spacing w:line="355"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电子商务平台经营者未进行 核验、登记、建立登记档案的</w:t>
            </w:r>
          </w:p>
        </w:tc>
        <w:tc>
          <w:tcPr>
            <w:tcW w:w="2077" w:type="dxa"/>
            <w:shd w:val="clear" w:color="auto" w:fill="FFFFFF"/>
            <w:noWrap w:val="0"/>
            <w:vAlign w:val="center"/>
          </w:tcPr>
          <w:p>
            <w:pPr>
              <w:spacing w:line="358"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情节轻微,责令限期改正后及时改正的</w:t>
            </w:r>
          </w:p>
        </w:tc>
        <w:tc>
          <w:tcPr>
            <w:tcW w:w="4052"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违反《中华人民共和国电子商务法》第二十七条，第八十条电子商务平台有下列行为之一的，由有关部门责令限期改正,逾期不改正的,处二万元以上十万元以下的罚款。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68" w:hRule="exact"/>
        </w:trPr>
        <w:tc>
          <w:tcPr>
            <w:tcW w:w="504" w:type="dxa"/>
            <w:shd w:val="clear" w:color="auto" w:fill="FFFFFF"/>
            <w:noWrap w:val="0"/>
            <w:vAlign w:val="center"/>
          </w:tcPr>
          <w:p>
            <w:pPr>
              <w:rPr>
                <w:rFonts w:ascii="宋体" w:hAnsi="宋体" w:eastAsia="宋体" w:cs="宋体"/>
                <w:color w:val="auto"/>
                <w:kern w:val="2"/>
                <w:sz w:val="21"/>
                <w:szCs w:val="24"/>
                <w:lang w:val="zh-TW" w:eastAsia="zh-TW" w:bidi="zh-TW"/>
              </w:rPr>
            </w:pPr>
            <w:r>
              <w:rPr>
                <w:rFonts w:hint="eastAsia" w:eastAsia="宋体"/>
                <w:color w:val="auto"/>
                <w:lang w:val="zh-TW" w:eastAsia="zh-CN" w:bidi="zh-TW"/>
              </w:rPr>
              <w:t>2</w:t>
            </w:r>
            <w:r>
              <w:rPr>
                <w:rFonts w:hint="eastAsia"/>
                <w:color w:val="auto"/>
                <w:lang w:val="en-US" w:eastAsia="zh-CN" w:bidi="zh-TW"/>
              </w:rPr>
              <w:t>1</w:t>
            </w:r>
          </w:p>
        </w:tc>
        <w:tc>
          <w:tcPr>
            <w:tcW w:w="2725" w:type="dxa"/>
            <w:shd w:val="clear" w:color="auto" w:fill="FFFFFF"/>
            <w:noWrap w:val="0"/>
            <w:vAlign w:val="center"/>
          </w:tcPr>
          <w:p>
            <w:pPr>
              <w:spacing w:line="358"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电子商务平台经营者未记录、 保存平台上发布的商品和服 务信息的</w:t>
            </w:r>
          </w:p>
        </w:tc>
        <w:tc>
          <w:tcPr>
            <w:tcW w:w="2077"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052"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违反《中华人民共和国电子商务法》第三十一条,依据《中华人民共和国电子商务法》第八十条处罚</w:t>
            </w:r>
          </w:p>
        </w:tc>
      </w:tr>
    </w:tbl>
    <w:p>
      <w:pPr>
        <w:sectPr>
          <w:footerReference r:id="rId8" w:type="default"/>
          <w:footerReference r:id="rId9" w:type="even"/>
          <w:pgSz w:w="11900" w:h="16840"/>
          <w:pgMar w:top="2041" w:right="1266" w:bottom="1845" w:left="1556" w:header="1613" w:footer="3" w:gutter="0"/>
          <w:pgNumType w:fmt="numberInDash"/>
          <w:cols w:space="720" w:num="1"/>
          <w:docGrid w:linePitch="360" w:charSpace="0"/>
        </w:sectPr>
      </w:pPr>
    </w:p>
    <w:tbl>
      <w:tblPr>
        <w:tblStyle w:val="4"/>
        <w:tblpPr w:leftFromText="180" w:rightFromText="180" w:vertAnchor="text" w:horzAnchor="page" w:tblpX="1339" w:tblpY="95"/>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03"/>
        <w:gridCol w:w="2803"/>
        <w:gridCol w:w="2112"/>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4" w:hRule="exact"/>
        </w:trPr>
        <w:tc>
          <w:tcPr>
            <w:tcW w:w="503"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803" w:type="dxa"/>
            <w:shd w:val="clear" w:color="auto" w:fill="FFFFFF"/>
            <w:noWrap w:val="0"/>
            <w:vAlign w:val="center"/>
          </w:tcPr>
          <w:p>
            <w:pPr>
              <w:ind w:firstLine="48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12"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4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92" w:hRule="exact"/>
        </w:trPr>
        <w:tc>
          <w:tcPr>
            <w:tcW w:w="503"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2</w:t>
            </w:r>
            <w:r>
              <w:rPr>
                <w:rFonts w:hint="eastAsia"/>
                <w:color w:val="auto"/>
                <w:lang w:val="en-US" w:eastAsia="zh-CN" w:bidi="zh-TW"/>
              </w:rPr>
              <w:t>2</w:t>
            </w:r>
          </w:p>
        </w:tc>
        <w:tc>
          <w:tcPr>
            <w:tcW w:w="2803"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电子商务经营者自行终止从事电子商务未按规定在首页显著位置持续公示有关信息</w:t>
            </w:r>
          </w:p>
        </w:tc>
        <w:tc>
          <w:tcPr>
            <w:tcW w:w="2112"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首次被发现，及时纠正,没有造成危害后果的</w:t>
            </w:r>
          </w:p>
        </w:tc>
        <w:tc>
          <w:tcPr>
            <w:tcW w:w="394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《中华人民共和国电子商务法》第十六条电子商务经营者自行终止从事电子商务的，应当提前三十日在首页显著位置持续公示有关信息。</w:t>
            </w:r>
          </w:p>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七十六条第一款第（二）项电子商务经营者违反本法规定，有下列行为之一的，由市场监督管理部门责令限期改正,可以处一万元以下的罚款。（二）未在首页显著位置持续公示终止电子商务的有关信息的</w:t>
            </w:r>
            <w:r>
              <w:rPr>
                <w:rFonts w:ascii="宋体" w:hAnsi="宋体" w:eastAsia="宋体" w:cs="宋体"/>
                <w:i/>
                <w:iCs/>
                <w:color w:val="auto"/>
                <w:sz w:val="20"/>
                <w:szCs w:val="20"/>
                <w:lang w:val="zh-TW" w:eastAsia="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63" w:hRule="exact"/>
        </w:trPr>
        <w:tc>
          <w:tcPr>
            <w:tcW w:w="503"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2</w:t>
            </w:r>
            <w:r>
              <w:rPr>
                <w:rFonts w:hint="eastAsia"/>
                <w:color w:val="auto"/>
                <w:lang w:val="en-US" w:eastAsia="zh-CN" w:bidi="zh-TW"/>
              </w:rPr>
              <w:t>3</w:t>
            </w:r>
          </w:p>
        </w:tc>
        <w:tc>
          <w:tcPr>
            <w:tcW w:w="2803"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电子商务经营者未明示用户 信息査询、更正、删除以及用 户注销的方式、程序，或者对 用户信息查询、更正、删除以 及用户注销设置不合理条件</w:t>
            </w:r>
          </w:p>
        </w:tc>
        <w:tc>
          <w:tcPr>
            <w:tcW w:w="2112"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首次被发现，及时纠正,没有造成危害后果的</w:t>
            </w:r>
          </w:p>
        </w:tc>
        <w:tc>
          <w:tcPr>
            <w:tcW w:w="3940"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《中华人民共和国电子商务法》第二十四条第一款电子商务经营者应当明示用户信息查询、更正、删除以及用户注销的方式、程序，不得对用户信息查询、更正、删除以及用户注销设置不合理条 件。</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七十六条第一款第（三）项电子商务经营者违反本法规定，有下列行为之一的，由市场监督管理部门责令限期改正，可以处一万元以下的罚款。（三）未明示用户信息查询、更正、删除以及用户注销 的方式、程序,或者对用户信息查询、 更正、删除以及用户注销设置不合理条件的。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0" w:hRule="exact"/>
        </w:trPr>
        <w:tc>
          <w:tcPr>
            <w:tcW w:w="503"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2</w:t>
            </w:r>
            <w:r>
              <w:rPr>
                <w:rFonts w:hint="eastAsia"/>
                <w:color w:val="auto"/>
                <w:lang w:val="en-US" w:eastAsia="zh-CN" w:bidi="zh-TW"/>
              </w:rPr>
              <w:t>4</w:t>
            </w:r>
          </w:p>
        </w:tc>
        <w:tc>
          <w:tcPr>
            <w:tcW w:w="2803"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电子商务平台经营者未按规 定向市场监管部门报送有关 信息的</w:t>
            </w:r>
          </w:p>
        </w:tc>
        <w:tc>
          <w:tcPr>
            <w:tcW w:w="2112" w:type="dxa"/>
            <w:shd w:val="clear" w:color="auto" w:fill="FFFFFF"/>
            <w:noWrap w:val="0"/>
            <w:vAlign w:val="center"/>
          </w:tcPr>
          <w:p>
            <w:pPr>
              <w:spacing w:line="367"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3940" w:type="dxa"/>
            <w:shd w:val="clear" w:color="auto" w:fill="FFFFFF"/>
            <w:noWrap w:val="0"/>
            <w:vAlign w:val="bottom"/>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二十八条第一款电子商务平台经营者应当按照规定向市场监督管理部门报送平台内经营者的身份信息，提示未办理市场主体登记的经营者依法办理登记,并配合市场监督管理部门，针对电子商务的 特点，为应当办理市场主体登记的经营者办理登记提供便利。</w:t>
            </w:r>
          </w:p>
          <w:p>
            <w:pPr>
              <w:spacing w:line="361" w:lineRule="exact"/>
              <w:jc w:val="both"/>
              <w:rPr>
                <w:rFonts w:ascii="宋体" w:hAnsi="宋体" w:eastAsia="宋体" w:cs="宋体"/>
                <w:color w:val="auto"/>
                <w:sz w:val="20"/>
                <w:szCs w:val="20"/>
                <w:lang w:val="zh-TW" w:eastAsia="zh-TW" w:bidi="zh-TW"/>
              </w:rPr>
            </w:pPr>
          </w:p>
        </w:tc>
      </w:tr>
    </w:tbl>
    <w:p>
      <w:pPr>
        <w:keepNext/>
        <w:keepLines/>
        <w:tabs>
          <w:tab w:val="left" w:pos="8083"/>
        </w:tabs>
        <w:ind w:hanging="2280"/>
        <w:outlineLvl w:val="3"/>
        <w:rPr>
          <w:rFonts w:ascii="宋体" w:hAnsi="宋体" w:eastAsia="宋体" w:cs="宋体"/>
          <w:sz w:val="28"/>
          <w:szCs w:val="28"/>
          <w:lang w:val="zh-TW" w:eastAsia="zh-TW" w:bidi="zh-TW"/>
        </w:rPr>
        <w:sectPr>
          <w:footerReference r:id="rId10" w:type="default"/>
          <w:footerReference r:id="rId11" w:type="even"/>
          <w:pgSz w:w="11900" w:h="16840"/>
          <w:pgMar w:top="1962" w:right="723" w:bottom="0" w:left="2125" w:header="1534" w:footer="3" w:gutter="0"/>
          <w:pgNumType w:fmt="numberInDash"/>
          <w:cols w:space="720" w:num="1"/>
          <w:docGrid w:linePitch="360" w:charSpace="0"/>
        </w:sectPr>
      </w:pPr>
    </w:p>
    <w:tbl>
      <w:tblPr>
        <w:tblStyle w:val="4"/>
        <w:tblpPr w:leftFromText="180" w:rightFromText="180" w:vertAnchor="text" w:horzAnchor="page" w:tblpX="1364" w:tblpY="111"/>
        <w:tblOverlap w:val="never"/>
        <w:tblW w:w="92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80"/>
        <w:gridCol w:w="2775"/>
        <w:gridCol w:w="2175"/>
        <w:gridCol w:w="3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480"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75" w:type="dxa"/>
            <w:shd w:val="clear" w:color="auto" w:fill="FFFFFF"/>
            <w:noWrap w:val="0"/>
            <w:vAlign w:val="center"/>
          </w:tcPr>
          <w:p>
            <w:pPr>
              <w:ind w:firstLine="48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7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84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43" w:hRule="exact"/>
        </w:trPr>
        <w:tc>
          <w:tcPr>
            <w:tcW w:w="480" w:type="dxa"/>
            <w:shd w:val="clear" w:color="auto" w:fill="FFFFFF"/>
            <w:noWrap w:val="0"/>
            <w:vAlign w:val="top"/>
          </w:tcPr>
          <w:p>
            <w:pPr>
              <w:rPr>
                <w:color w:val="auto"/>
                <w:sz w:val="10"/>
                <w:szCs w:val="10"/>
              </w:rPr>
            </w:pPr>
          </w:p>
        </w:tc>
        <w:tc>
          <w:tcPr>
            <w:tcW w:w="2775" w:type="dxa"/>
            <w:shd w:val="clear" w:color="auto" w:fill="FFFFFF"/>
            <w:noWrap w:val="0"/>
            <w:vAlign w:val="top"/>
          </w:tcPr>
          <w:p>
            <w:pPr>
              <w:rPr>
                <w:color w:val="auto"/>
                <w:sz w:val="10"/>
                <w:szCs w:val="10"/>
              </w:rPr>
            </w:pPr>
          </w:p>
        </w:tc>
        <w:tc>
          <w:tcPr>
            <w:tcW w:w="2175" w:type="dxa"/>
            <w:shd w:val="clear" w:color="auto" w:fill="FFFFFF"/>
            <w:noWrap w:val="0"/>
            <w:vAlign w:val="top"/>
          </w:tcPr>
          <w:p>
            <w:pPr>
              <w:rPr>
                <w:color w:val="auto"/>
                <w:sz w:val="10"/>
                <w:szCs w:val="10"/>
              </w:rPr>
            </w:pPr>
          </w:p>
        </w:tc>
        <w:tc>
          <w:tcPr>
            <w:tcW w:w="3840" w:type="dxa"/>
            <w:shd w:val="clear" w:color="auto" w:fill="FFFFFF"/>
            <w:noWrap w:val="0"/>
            <w:vAlign w:val="top"/>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八十条第一款电子商务平台经营者有下列行为之一的，由有关主管部门责令限期改正；逾期不改正的，处二万元以上十万元以下的罚款；情节严重的，责令停业整顿,并处十万元以上五十万元以下的罚款：……（二）不按照本法第二十八条规定向市场监督管理部门、税务部门报送有关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58" w:hRule="exact"/>
        </w:trPr>
        <w:tc>
          <w:tcPr>
            <w:tcW w:w="48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2</w:t>
            </w:r>
            <w:r>
              <w:rPr>
                <w:rFonts w:hint="eastAsia"/>
                <w:color w:val="auto"/>
                <w:lang w:val="en-US" w:eastAsia="zh-CN" w:bidi="zh-TW"/>
              </w:rPr>
              <w:t>5</w:t>
            </w:r>
          </w:p>
        </w:tc>
        <w:tc>
          <w:tcPr>
            <w:tcW w:w="2775" w:type="dxa"/>
            <w:shd w:val="clear" w:color="auto" w:fill="FFFFFF"/>
            <w:noWrap w:val="0"/>
            <w:vAlign w:val="center"/>
          </w:tcPr>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对平台内经营者实施侵犯知</w:t>
            </w:r>
          </w:p>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识产权行为未依法采取必要</w:t>
            </w:r>
          </w:p>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措施的</w:t>
            </w:r>
          </w:p>
        </w:tc>
        <w:tc>
          <w:tcPr>
            <w:tcW w:w="2175" w:type="dxa"/>
            <w:shd w:val="clear" w:color="auto" w:fill="FFFFFF"/>
            <w:noWrap w:val="0"/>
            <w:vAlign w:val="center"/>
          </w:tcPr>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384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电子商务法》第四十二条知识产权权利人认为其知识产权受到侵害的，有权通知电子商务平台经营者采取删除、屏蔽、断开链接、终止交易和服务等必要措施。通知应当包括构成侵权的初步证据。</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电子商务平台经营者接到通知后，应当及时采取必要措施,并将该通知转送平台内经营者；未及时采取必要措施的，对损害的扩大部分与平台内经营者承担连带责任。</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因通知错误造成平台内经营者损害的，依法承担民事责任。恶意发出错误通知,造成平台内经营者损失的，加倍承担赔偿责任。</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第四十五条电子商务平台经营者知道或者应当知道平台内经营者侵犯知识产权的，应当采取删除、屏蔽、断开链接、 终止交易和服务等必要措施；未采取必要措施的，与侵权人承担连带责任。 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349" w:tblpY="145"/>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80"/>
        <w:gridCol w:w="2820"/>
        <w:gridCol w:w="2130"/>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48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820"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30"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87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43" w:hRule="exact"/>
        </w:trPr>
        <w:tc>
          <w:tcPr>
            <w:tcW w:w="48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2</w:t>
            </w:r>
            <w:r>
              <w:rPr>
                <w:rFonts w:hint="eastAsia"/>
                <w:color w:val="auto"/>
                <w:lang w:val="en-US" w:eastAsia="zh-CN" w:bidi="zh-TW"/>
              </w:rPr>
              <w:t>6</w:t>
            </w:r>
          </w:p>
        </w:tc>
        <w:tc>
          <w:tcPr>
            <w:tcW w:w="2820" w:type="dxa"/>
            <w:shd w:val="clear" w:color="auto" w:fill="FFFFFF"/>
            <w:noWrap w:val="0"/>
            <w:vAlign w:val="center"/>
          </w:tcPr>
          <w:p>
            <w:pPr>
              <w:spacing w:line="346"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违反《网络交易管理办法》第八条、第二十一条规定的</w:t>
            </w:r>
          </w:p>
        </w:tc>
        <w:tc>
          <w:tcPr>
            <w:tcW w:w="2130" w:type="dxa"/>
            <w:shd w:val="clear" w:color="auto" w:fill="FFFFFF"/>
            <w:noWrap w:val="0"/>
            <w:vAlign w:val="center"/>
          </w:tcPr>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3870"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交易管理办法》第八条已经工商行政管理部门登记注册并领取宫业执照的法人、其他经济组织或者个体工商户,从事网络商品交易及有关服务的，应当在其网站首页或者从事经营活动的主页面醒目位置公开营业执照登载的信息或者其营业执照的电子链接标识。 第二十一条网络商品经营者、有关服务经营者应当按照国家工商行政管理总局 的规定向所在地工商行政管理部门报送经营统计资料。</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第五十一条违反本办法第八条、第二十—条规定的，予以警告，责令改正，拒不改正的，处以一万元以下的罚款。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40" w:hRule="exact"/>
        </w:trPr>
        <w:tc>
          <w:tcPr>
            <w:tcW w:w="480"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2</w:t>
            </w:r>
            <w:r>
              <w:rPr>
                <w:rFonts w:hint="eastAsia"/>
                <w:color w:val="auto"/>
                <w:sz w:val="20"/>
                <w:szCs w:val="20"/>
                <w:lang w:val="en-US" w:eastAsia="zh-CN" w:bidi="zh-TW"/>
              </w:rPr>
              <w:t>7</w:t>
            </w:r>
          </w:p>
        </w:tc>
        <w:tc>
          <w:tcPr>
            <w:tcW w:w="2820" w:type="dxa"/>
            <w:shd w:val="clear" w:color="auto" w:fill="FFFFFF"/>
            <w:noWrap w:val="0"/>
            <w:vAlign w:val="center"/>
          </w:tcPr>
          <w:p>
            <w:pPr>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明码标价不规范</w:t>
            </w:r>
          </w:p>
        </w:tc>
        <w:tc>
          <w:tcPr>
            <w:tcW w:w="213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有证据证明事先充分保障了消费者的知情权与选</w:t>
            </w:r>
            <w:r>
              <w:rPr>
                <w:rFonts w:hint="eastAsia" w:ascii="宋体" w:hAnsi="宋体" w:eastAsia="宋体" w:cs="宋体"/>
                <w:color w:val="auto"/>
                <w:sz w:val="20"/>
                <w:szCs w:val="20"/>
                <w:lang w:val="zh-TW" w:eastAsia="zh-CN" w:bidi="zh-TW"/>
              </w:rPr>
              <w:t>选择</w:t>
            </w:r>
            <w:r>
              <w:rPr>
                <w:rFonts w:ascii="宋体" w:hAnsi="宋体" w:eastAsia="宋体" w:cs="宋体"/>
                <w:color w:val="auto"/>
                <w:sz w:val="20"/>
                <w:szCs w:val="20"/>
                <w:lang w:val="zh-TW" w:eastAsia="zh-TW" w:bidi="zh-TW"/>
              </w:rPr>
              <w:t>权，及时纠正没有造成危害后果的</w:t>
            </w:r>
          </w:p>
        </w:tc>
        <w:tc>
          <w:tcPr>
            <w:tcW w:w="387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《关于商品和服务实行明码标价的规定》第九条明码标价应当做到价签价目齐全、标价内容真实明确、字迹清晰、 货签对位、标示醒目。价格变动时应当及时调整。</w:t>
            </w:r>
          </w:p>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《关于商品和服务实行明码标价的规定》第二十一条第（二）项经营者有下列行为之一的，由价格主管部门责令改正,没收违法所得，可以并处</w:t>
            </w:r>
            <w:r>
              <w:rPr>
                <w:color w:val="auto"/>
                <w:lang w:val="zh-TW" w:eastAsia="zh-TW" w:bidi="zh-TW"/>
              </w:rPr>
              <w:t>5000</w:t>
            </w:r>
            <w:r>
              <w:rPr>
                <w:rFonts w:ascii="宋体" w:hAnsi="宋体" w:eastAsia="宋体" w:cs="宋体"/>
                <w:color w:val="auto"/>
                <w:sz w:val="20"/>
                <w:szCs w:val="20"/>
                <w:lang w:val="zh-TW" w:eastAsia="zh-TW" w:bidi="zh-TW"/>
              </w:rPr>
              <w:t>元以下的罚款；没有违法所得的，可以处以</w:t>
            </w:r>
            <w:r>
              <w:rPr>
                <w:color w:val="auto"/>
                <w:lang w:val="zh-TW" w:eastAsia="zh-TW" w:bidi="zh-TW"/>
              </w:rPr>
              <w:t>5000</w:t>
            </w:r>
            <w:r>
              <w:rPr>
                <w:rFonts w:ascii="宋体" w:hAnsi="宋体" w:eastAsia="宋体" w:cs="宋体"/>
                <w:color w:val="auto"/>
                <w:sz w:val="20"/>
                <w:szCs w:val="20"/>
                <w:lang w:val="zh-TW" w:eastAsia="zh-TW" w:bidi="zh-TW"/>
              </w:rPr>
              <w:t>元以下的罚款。（二）不按规定的内容和方式明码标价的；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40" w:hRule="exact"/>
        </w:trPr>
        <w:tc>
          <w:tcPr>
            <w:tcW w:w="480" w:type="dxa"/>
            <w:shd w:val="clear" w:color="auto" w:fill="FFFFFF"/>
            <w:noWrap w:val="0"/>
            <w:vAlign w:val="center"/>
          </w:tcPr>
          <w:p>
            <w:pPr>
              <w:rPr>
                <w:rFonts w:hint="default" w:ascii="宋体" w:hAnsi="宋体" w:eastAsia="宋体" w:cs="宋体"/>
                <w:color w:val="auto"/>
                <w:kern w:val="2"/>
                <w:sz w:val="20"/>
                <w:szCs w:val="20"/>
                <w:lang w:val="en-US" w:eastAsia="zh-CN" w:bidi="zh-TW"/>
              </w:rPr>
            </w:pPr>
            <w:r>
              <w:rPr>
                <w:rFonts w:hint="eastAsia"/>
                <w:color w:val="auto"/>
                <w:sz w:val="20"/>
                <w:szCs w:val="20"/>
                <w:lang w:val="en-US" w:eastAsia="zh-CN" w:bidi="zh-TW"/>
              </w:rPr>
              <w:t>28</w:t>
            </w:r>
          </w:p>
        </w:tc>
        <w:tc>
          <w:tcPr>
            <w:tcW w:w="2820" w:type="dxa"/>
            <w:shd w:val="clear" w:color="auto" w:fill="FFFFFF"/>
            <w:noWrap w:val="0"/>
            <w:vAlign w:val="center"/>
          </w:tcPr>
          <w:p>
            <w:pPr>
              <w:spacing w:line="360"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价格变动时个别标价签未能 及时调整到位</w:t>
            </w:r>
          </w:p>
        </w:tc>
        <w:tc>
          <w:tcPr>
            <w:tcW w:w="2130" w:type="dxa"/>
            <w:shd w:val="clear" w:color="auto" w:fill="FFFFFF"/>
            <w:noWrap w:val="0"/>
            <w:vAlign w:val="center"/>
          </w:tcPr>
          <w:p>
            <w:pPr>
              <w:spacing w:line="358"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非主观故意,及时纠正，没有造成危害后果的</w:t>
            </w:r>
          </w:p>
        </w:tc>
        <w:tc>
          <w:tcPr>
            <w:tcW w:w="3870" w:type="dxa"/>
            <w:shd w:val="clear" w:color="auto" w:fill="FFFFFF"/>
            <w:noWrap w:val="0"/>
            <w:vAlign w:val="bottom"/>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《关于商品和服务实行明码标价的规定》第九条明码标价应当做到价签价目齐全、标价内容真实明确、字迹清晰、货签对位、标示醒目。价格变动时应当及时调整。</w:t>
            </w:r>
          </w:p>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《关于商品和服务实行明码标价的规定》第二十一条第（二）项经营者有下列行为之一的，由价格主管部门责令改正，没收违法所得，可以并处</w:t>
            </w:r>
            <w:r>
              <w:rPr>
                <w:color w:val="auto"/>
                <w:lang w:val="zh-TW" w:eastAsia="zh-TW" w:bidi="zh-TW"/>
              </w:rPr>
              <w:t>5000</w:t>
            </w:r>
            <w:r>
              <w:rPr>
                <w:rFonts w:ascii="宋体" w:hAnsi="宋体" w:eastAsia="宋体" w:cs="宋体"/>
                <w:color w:val="auto"/>
                <w:sz w:val="20"/>
                <w:szCs w:val="20"/>
                <w:lang w:val="zh-TW" w:eastAsia="zh-TW" w:bidi="zh-TW"/>
              </w:rPr>
              <w:t>元以下的罚款</w:t>
            </w:r>
            <w:r>
              <w:rPr>
                <w:rFonts w:ascii="宋体" w:hAnsi="宋体" w:eastAsia="宋体" w:cs="宋体"/>
                <w:color w:val="auto"/>
                <w:lang w:val="zh-TW" w:eastAsia="zh-TW" w:bidi="zh-TW"/>
              </w:rPr>
              <w:t>；</w:t>
            </w:r>
            <w:r>
              <w:rPr>
                <w:rFonts w:ascii="宋体" w:hAnsi="宋体" w:eastAsia="宋体" w:cs="宋体"/>
                <w:color w:val="auto"/>
                <w:sz w:val="20"/>
                <w:szCs w:val="20"/>
                <w:lang w:val="zh-TW" w:eastAsia="zh-TW" w:bidi="zh-TW"/>
              </w:rPr>
              <w:t>没有违法所得的，可以处以</w:t>
            </w:r>
            <w:r>
              <w:rPr>
                <w:color w:val="auto"/>
                <w:lang w:val="zh-TW" w:eastAsia="zh-TW" w:bidi="zh-TW"/>
              </w:rPr>
              <w:t>5000</w:t>
            </w:r>
            <w:r>
              <w:rPr>
                <w:rFonts w:ascii="宋体" w:hAnsi="宋体" w:eastAsia="宋体" w:cs="宋体"/>
                <w:color w:val="auto"/>
                <w:sz w:val="20"/>
                <w:szCs w:val="20"/>
                <w:lang w:val="zh-TW" w:eastAsia="zh-TW" w:bidi="zh-TW"/>
              </w:rPr>
              <w:t>元以下的罚款。（二）不按规 定的内容和方式明码标价的；</w:t>
            </w:r>
          </w:p>
        </w:tc>
      </w:tr>
    </w:tbl>
    <w:p>
      <w:pPr>
        <w:rPr>
          <w:lang w:eastAsia="zh-CN"/>
        </w:rPr>
        <w:sectPr>
          <w:footerReference r:id="rId14" w:type="first"/>
          <w:footerReference r:id="rId12" w:type="default"/>
          <w:footerReference r:id="rId13" w:type="even"/>
          <w:pgSz w:w="11900" w:h="16840"/>
          <w:pgMar w:top="1995" w:right="1259" w:bottom="1844" w:left="1540" w:header="0" w:footer="3" w:gutter="0"/>
          <w:pgNumType w:fmt="numberInDash"/>
          <w:cols w:space="720" w:num="1"/>
          <w:titlePg/>
          <w:docGrid w:linePitch="360" w:charSpace="0"/>
        </w:sectPr>
      </w:pPr>
    </w:p>
    <w:tbl>
      <w:tblPr>
        <w:tblStyle w:val="4"/>
        <w:tblpPr w:leftFromText="180" w:rightFromText="180" w:vertAnchor="text" w:horzAnchor="page" w:tblpX="1334" w:tblpY="113"/>
        <w:tblOverlap w:val="never"/>
        <w:tblW w:w="93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5"/>
        <w:gridCol w:w="2835"/>
        <w:gridCol w:w="2085"/>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8" w:hRule="exact"/>
        </w:trPr>
        <w:tc>
          <w:tcPr>
            <w:tcW w:w="49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83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85"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0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9" w:hRule="exact"/>
        </w:trPr>
        <w:tc>
          <w:tcPr>
            <w:tcW w:w="495" w:type="dxa"/>
            <w:shd w:val="clear" w:color="auto" w:fill="FFFFFF"/>
            <w:noWrap w:val="0"/>
            <w:vAlign w:val="center"/>
          </w:tcPr>
          <w:p>
            <w:pPr>
              <w:rPr>
                <w:rFonts w:hint="default" w:ascii="宋体" w:hAnsi="宋体" w:eastAsia="宋体" w:cs="宋体"/>
                <w:color w:val="auto"/>
                <w:sz w:val="20"/>
                <w:szCs w:val="20"/>
                <w:lang w:val="en-US" w:eastAsia="zh-CN" w:bidi="zh-TW"/>
              </w:rPr>
            </w:pPr>
            <w:r>
              <w:rPr>
                <w:rFonts w:hint="eastAsia"/>
                <w:color w:val="auto"/>
                <w:sz w:val="20"/>
                <w:szCs w:val="20"/>
                <w:lang w:val="en-US" w:eastAsia="zh-CN" w:bidi="zh-TW"/>
              </w:rPr>
              <w:t>29</w:t>
            </w:r>
          </w:p>
        </w:tc>
        <w:tc>
          <w:tcPr>
            <w:tcW w:w="2835"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未能做到价签价目齐全、标价内容真实明确</w:t>
            </w:r>
          </w:p>
        </w:tc>
        <w:tc>
          <w:tcPr>
            <w:tcW w:w="2085"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有证据证明因厂家对产品产地、规格等内容进行调整后未及时发现并进行调整，及时纠正，没有造成危害后果的</w:t>
            </w:r>
          </w:p>
        </w:tc>
        <w:tc>
          <w:tcPr>
            <w:tcW w:w="390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《关于商品和服务实行明码标价的规定》第九条明码标价应当做到价签价目齐全、标价内容真实明确、字迹清晰、货签对位、标示醒目。价格变动时应当及时调整。</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《关于商品和服务实行明码标价的规定》第二十一条第（二）项经营者有下列行为之一的，由价格主管部门责令改正，没收违法所得，可以并处</w:t>
            </w:r>
            <w:r>
              <w:rPr>
                <w:color w:val="auto"/>
                <w:lang w:val="zh-TW" w:eastAsia="zh-TW" w:bidi="zh-TW"/>
              </w:rPr>
              <w:t>5000</w:t>
            </w:r>
            <w:r>
              <w:rPr>
                <w:rFonts w:ascii="宋体" w:hAnsi="宋体" w:eastAsia="宋体" w:cs="宋体"/>
                <w:color w:val="auto"/>
                <w:sz w:val="20"/>
                <w:szCs w:val="20"/>
                <w:lang w:val="zh-TW" w:eastAsia="zh-TW" w:bidi="zh-TW"/>
              </w:rPr>
              <w:t>元 以下的罚款</w:t>
            </w:r>
            <w:r>
              <w:rPr>
                <w:rFonts w:ascii="宋体" w:hAnsi="宋体" w:eastAsia="宋体" w:cs="宋体"/>
                <w:i/>
                <w:iCs/>
                <w:color w:val="auto"/>
                <w:sz w:val="20"/>
                <w:szCs w:val="20"/>
                <w:lang w:val="zh-TW" w:eastAsia="zh-TW" w:bidi="zh-TW"/>
              </w:rPr>
              <w:t>；</w:t>
            </w:r>
            <w:r>
              <w:rPr>
                <w:rFonts w:ascii="宋体" w:hAnsi="宋体" w:eastAsia="宋体" w:cs="宋体"/>
                <w:color w:val="auto"/>
                <w:sz w:val="20"/>
                <w:szCs w:val="20"/>
                <w:lang w:val="zh-TW" w:eastAsia="zh-TW" w:bidi="zh-TW"/>
              </w:rPr>
              <w:t>没有违法所得的,可以处以</w:t>
            </w:r>
            <w:r>
              <w:rPr>
                <w:color w:val="auto"/>
                <w:lang w:val="zh-TW" w:eastAsia="zh-TW" w:bidi="zh-TW"/>
              </w:rPr>
              <w:t>5000</w:t>
            </w:r>
            <w:r>
              <w:rPr>
                <w:rFonts w:ascii="宋体" w:hAnsi="宋体" w:eastAsia="宋体" w:cs="宋体"/>
                <w:color w:val="auto"/>
                <w:sz w:val="20"/>
                <w:szCs w:val="20"/>
                <w:lang w:val="zh-TW" w:eastAsia="zh-TW" w:bidi="zh-TW"/>
              </w:rPr>
              <w:t>元以下的罚款。（二）不按规定的内容和方式明码标价的；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99" w:hRule="exact"/>
        </w:trPr>
        <w:tc>
          <w:tcPr>
            <w:tcW w:w="495" w:type="dxa"/>
            <w:shd w:val="clear" w:color="auto" w:fill="FFFFFF"/>
            <w:noWrap w:val="0"/>
            <w:vAlign w:val="center"/>
          </w:tcPr>
          <w:p>
            <w:pPr>
              <w:rPr>
                <w:rFonts w:ascii="宋体" w:hAnsi="宋体" w:eastAsia="宋体" w:cs="宋体"/>
                <w:color w:val="auto"/>
                <w:kern w:val="2"/>
                <w:sz w:val="20"/>
                <w:szCs w:val="20"/>
                <w:lang w:val="zh-TW" w:eastAsia="zh-TW" w:bidi="zh-TW"/>
              </w:rPr>
            </w:pPr>
            <w:r>
              <w:rPr>
                <w:rFonts w:hint="eastAsia" w:eastAsia="宋体"/>
                <w:color w:val="auto"/>
                <w:sz w:val="20"/>
                <w:szCs w:val="20"/>
                <w:lang w:val="zh-TW" w:eastAsia="zh-CN" w:bidi="zh-TW"/>
              </w:rPr>
              <w:t>3</w:t>
            </w:r>
            <w:r>
              <w:rPr>
                <w:rFonts w:hint="eastAsia"/>
                <w:color w:val="auto"/>
                <w:sz w:val="20"/>
                <w:szCs w:val="20"/>
                <w:lang w:val="en-US" w:eastAsia="zh-CN" w:bidi="zh-TW"/>
              </w:rPr>
              <w:t>0</w:t>
            </w:r>
          </w:p>
        </w:tc>
        <w:tc>
          <w:tcPr>
            <w:tcW w:w="2835" w:type="dxa"/>
            <w:shd w:val="clear" w:color="auto" w:fill="FFFFFF"/>
            <w:noWrap w:val="0"/>
            <w:vAlign w:val="center"/>
          </w:tcPr>
          <w:p>
            <w:pPr>
              <w:spacing w:line="32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提供服务的经营者公布服务 项目、服务内容、等级或规格、 服务价格等内容的位置不够 醒目</w:t>
            </w:r>
          </w:p>
        </w:tc>
        <w:tc>
          <w:tcPr>
            <w:tcW w:w="2085" w:type="dxa"/>
            <w:shd w:val="clear" w:color="auto" w:fill="FFFFFF"/>
            <w:noWrap w:val="0"/>
            <w:vAlign w:val="center"/>
          </w:tcPr>
          <w:p>
            <w:pPr>
              <w:spacing w:line="32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及时纠正，没有造成危害后果的</w:t>
            </w:r>
          </w:p>
        </w:tc>
        <w:tc>
          <w:tcPr>
            <w:tcW w:w="3900" w:type="dxa"/>
            <w:shd w:val="clear" w:color="auto" w:fill="FFFFFF"/>
            <w:noWrap w:val="0"/>
            <w:vAlign w:val="bottom"/>
          </w:tcPr>
          <w:p>
            <w:pPr>
              <w:spacing w:line="32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《关于商品和服务实行明码标价的规定》第十六条提供服务的经营者应当在经营场所或缴费地点的醒目位置公布服务项目、服务内容、等级或规格、服务价格等。</w:t>
            </w:r>
          </w:p>
          <w:p>
            <w:pPr>
              <w:spacing w:line="32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《关于商品和服务实行明码标价的规定》第二十一条第（二）项经营者有下 列行为之一的，由价格主管部门责令改正,没收违法所得，可以并处</w:t>
            </w:r>
            <w:r>
              <w:rPr>
                <w:color w:val="auto"/>
                <w:lang w:val="zh-TW" w:eastAsia="zh-TW" w:bidi="zh-TW"/>
              </w:rPr>
              <w:t>5000</w:t>
            </w:r>
            <w:r>
              <w:rPr>
                <w:rFonts w:ascii="宋体" w:hAnsi="宋体" w:eastAsia="宋体" w:cs="宋体"/>
                <w:color w:val="auto"/>
                <w:sz w:val="20"/>
                <w:szCs w:val="20"/>
                <w:lang w:val="zh-TW" w:eastAsia="zh-TW" w:bidi="zh-TW"/>
              </w:rPr>
              <w:t>元以下的罚款；没有违法所得的，可以处以</w:t>
            </w:r>
            <w:r>
              <w:rPr>
                <w:color w:val="auto"/>
                <w:lang w:val="zh-TW" w:eastAsia="zh-TW" w:bidi="zh-TW"/>
              </w:rPr>
              <w:t>5000</w:t>
            </w:r>
            <w:r>
              <w:rPr>
                <w:rFonts w:ascii="宋体" w:hAnsi="宋体" w:eastAsia="宋体" w:cs="宋体"/>
                <w:color w:val="auto"/>
                <w:sz w:val="20"/>
                <w:szCs w:val="20"/>
                <w:lang w:val="zh-TW" w:eastAsia="zh-TW" w:bidi="zh-TW"/>
              </w:rPr>
              <w:t>元以下的罚款：（二）不按规 定的内容和方式明码标价的</w:t>
            </w:r>
            <w:r>
              <w:rPr>
                <w:rFonts w:ascii="宋体" w:hAnsi="宋体" w:eastAsia="宋体" w:cs="宋体"/>
                <w:i/>
                <w:iCs/>
                <w:color w:val="auto"/>
                <w:sz w:val="20"/>
                <w:szCs w:val="20"/>
                <w:lang w:val="zh-TW" w:eastAsia="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29" w:hRule="exact"/>
        </w:trPr>
        <w:tc>
          <w:tcPr>
            <w:tcW w:w="495"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3</w:t>
            </w:r>
            <w:r>
              <w:rPr>
                <w:rFonts w:hint="eastAsia"/>
                <w:color w:val="auto"/>
                <w:sz w:val="20"/>
                <w:szCs w:val="20"/>
                <w:lang w:val="en-US" w:eastAsia="zh-CN" w:bidi="zh-TW"/>
              </w:rPr>
              <w:t>1</w:t>
            </w:r>
          </w:p>
        </w:tc>
        <w:tc>
          <w:tcPr>
            <w:tcW w:w="2835"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从事涉外商品经营的单位未同时用中、外文标示商品内容的</w:t>
            </w:r>
          </w:p>
        </w:tc>
        <w:tc>
          <w:tcPr>
            <w:tcW w:w="2085"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未引起消费者对商品价格的误解，责令改正后 及时改正的</w:t>
            </w:r>
          </w:p>
        </w:tc>
        <w:tc>
          <w:tcPr>
            <w:tcW w:w="3900"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《国家发展计划委员会关于商品和服务实行明码标价的规定》第十一条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74" w:hRule="exact"/>
        </w:trPr>
        <w:tc>
          <w:tcPr>
            <w:tcW w:w="495"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3</w:t>
            </w:r>
            <w:r>
              <w:rPr>
                <w:rFonts w:hint="eastAsia"/>
                <w:color w:val="auto"/>
                <w:sz w:val="20"/>
                <w:szCs w:val="20"/>
                <w:lang w:val="en-US" w:eastAsia="zh-CN" w:bidi="zh-TW"/>
              </w:rPr>
              <w:t>2</w:t>
            </w:r>
          </w:p>
        </w:tc>
        <w:tc>
          <w:tcPr>
            <w:tcW w:w="2835" w:type="dxa"/>
            <w:shd w:val="clear" w:color="auto" w:fill="FFFFFF"/>
            <w:noWrap w:val="0"/>
            <w:vAlign w:val="center"/>
          </w:tcPr>
          <w:p>
            <w:pPr>
              <w:spacing w:line="36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降价销售商品和提供服务时 未使用降价标价签、价目表的</w:t>
            </w:r>
          </w:p>
        </w:tc>
        <w:tc>
          <w:tcPr>
            <w:tcW w:w="2085" w:type="dxa"/>
            <w:shd w:val="clear" w:color="auto" w:fill="FFFFFF"/>
            <w:noWrap w:val="0"/>
            <w:vAlign w:val="center"/>
          </w:tcPr>
          <w:p>
            <w:pPr>
              <w:spacing w:line="36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未损害消费者的知情权和选择权，责令限期改 正后及时改正的</w:t>
            </w:r>
          </w:p>
        </w:tc>
        <w:tc>
          <w:tcPr>
            <w:tcW w:w="3900"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《国家发展计划委员会关于商品和服务实行明码标价的规定》第十二条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19" w:hRule="exact"/>
        </w:trPr>
        <w:tc>
          <w:tcPr>
            <w:tcW w:w="495"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3</w:t>
            </w:r>
            <w:r>
              <w:rPr>
                <w:rFonts w:hint="eastAsia"/>
                <w:color w:val="auto"/>
                <w:sz w:val="20"/>
                <w:szCs w:val="20"/>
                <w:lang w:val="en-US" w:eastAsia="zh-CN" w:bidi="zh-TW"/>
              </w:rPr>
              <w:t>3</w:t>
            </w:r>
          </w:p>
        </w:tc>
        <w:tc>
          <w:tcPr>
            <w:tcW w:w="2835"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医疗器械经营企业，未依照《医疗器械监督管理条例》规定建立并执行医疗器械进货查验记录制度的</w:t>
            </w:r>
          </w:p>
        </w:tc>
        <w:tc>
          <w:tcPr>
            <w:tcW w:w="2085"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首次违反，并</w:t>
            </w:r>
            <w:r>
              <w:rPr>
                <w:rFonts w:hint="eastAsia" w:ascii="宋体" w:hAnsi="宋体" w:eastAsia="宋体" w:cs="宋体"/>
                <w:color w:val="auto"/>
                <w:sz w:val="20"/>
                <w:szCs w:val="20"/>
                <w:lang w:val="zh-TW" w:eastAsia="zh-CN" w:bidi="zh-TW"/>
              </w:rPr>
              <w:t>及时</w:t>
            </w:r>
            <w:r>
              <w:rPr>
                <w:rFonts w:ascii="宋体" w:hAnsi="宋体" w:eastAsia="宋体" w:cs="宋体"/>
                <w:color w:val="auto"/>
                <w:sz w:val="20"/>
                <w:szCs w:val="20"/>
                <w:lang w:val="zh-TW" w:eastAsia="zh-TW" w:bidi="zh-TW"/>
              </w:rPr>
              <w:t>改正的</w:t>
            </w:r>
          </w:p>
        </w:tc>
        <w:tc>
          <w:tcPr>
            <w:tcW w:w="3900" w:type="dxa"/>
            <w:shd w:val="clear" w:color="auto" w:fill="FFFFFF"/>
            <w:noWrap w:val="0"/>
            <w:vAlign w:val="center"/>
          </w:tcPr>
          <w:p>
            <w:pPr>
              <w:spacing w:before="100" w:after="120"/>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《医疗器械监督管理条例》第三十二条、第六十八条第（二）项</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279" w:tblpY="72"/>
        <w:tblOverlap w:val="never"/>
        <w:tblW w:w="9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13"/>
        <w:gridCol w:w="2932"/>
        <w:gridCol w:w="2043"/>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62" w:hRule="exact"/>
        </w:trPr>
        <w:tc>
          <w:tcPr>
            <w:tcW w:w="513"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932"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43"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5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3" w:hRule="exact"/>
        </w:trPr>
        <w:tc>
          <w:tcPr>
            <w:tcW w:w="513"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3</w:t>
            </w:r>
            <w:r>
              <w:rPr>
                <w:rFonts w:hint="eastAsia"/>
                <w:color w:val="auto"/>
                <w:lang w:val="en-US" w:eastAsia="zh-CN" w:bidi="zh-TW"/>
              </w:rPr>
              <w:t>4</w:t>
            </w:r>
          </w:p>
        </w:tc>
        <w:tc>
          <w:tcPr>
            <w:tcW w:w="2932" w:type="dxa"/>
            <w:shd w:val="clear" w:color="auto" w:fill="FFFFFF"/>
            <w:noWrap w:val="0"/>
            <w:vAlign w:val="center"/>
          </w:tcPr>
          <w:p>
            <w:pPr>
              <w:spacing w:line="359"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医疗器械使用单位，未依照《医疗器械监督管理条例》规定建立并执行医疗器械进货查验记录制度的</w:t>
            </w:r>
          </w:p>
        </w:tc>
        <w:tc>
          <w:tcPr>
            <w:tcW w:w="2043"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首次违反，并</w:t>
            </w:r>
            <w:r>
              <w:rPr>
                <w:rFonts w:hint="eastAsia" w:ascii="宋体" w:hAnsi="宋体" w:eastAsia="宋体" w:cs="宋体"/>
                <w:color w:val="auto"/>
                <w:sz w:val="20"/>
                <w:szCs w:val="20"/>
                <w:lang w:val="zh-TW" w:eastAsia="zh-CN" w:bidi="zh-TW"/>
              </w:rPr>
              <w:t>及时</w:t>
            </w:r>
            <w:r>
              <w:rPr>
                <w:rFonts w:ascii="宋体" w:hAnsi="宋体" w:eastAsia="宋体" w:cs="宋体"/>
                <w:color w:val="auto"/>
                <w:sz w:val="20"/>
                <w:szCs w:val="20"/>
                <w:lang w:val="zh-TW" w:eastAsia="zh-TW" w:bidi="zh-TW"/>
              </w:rPr>
              <w:t>改正的</w:t>
            </w:r>
          </w:p>
        </w:tc>
        <w:tc>
          <w:tcPr>
            <w:tcW w:w="3950" w:type="dxa"/>
            <w:shd w:val="clear" w:color="auto" w:fill="FFFFFF"/>
            <w:noWrap w:val="0"/>
            <w:vAlign w:val="center"/>
          </w:tcPr>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《医疗器械监督管理条例》第三十二条、第六十八条第（二）项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523" w:hRule="exact"/>
        </w:trPr>
        <w:tc>
          <w:tcPr>
            <w:tcW w:w="513"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3</w:t>
            </w:r>
            <w:r>
              <w:rPr>
                <w:rFonts w:hint="eastAsia"/>
                <w:color w:val="auto"/>
                <w:lang w:val="en-US" w:eastAsia="zh-CN" w:bidi="zh-TW"/>
              </w:rPr>
              <w:t>5</w:t>
            </w:r>
          </w:p>
        </w:tc>
        <w:tc>
          <w:tcPr>
            <w:tcW w:w="2932" w:type="dxa"/>
            <w:shd w:val="clear" w:color="auto" w:fill="FFFFFF"/>
            <w:noWrap w:val="0"/>
            <w:vAlign w:val="center"/>
          </w:tcPr>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食品、食品添加剂的标签、说明书存在瑕疵</w:t>
            </w:r>
          </w:p>
        </w:tc>
        <w:tc>
          <w:tcPr>
            <w:tcW w:w="2043"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不影响食品安全且不会对消赛者</w:t>
            </w:r>
            <w:r>
              <w:rPr>
                <w:rFonts w:hint="eastAsia" w:ascii="宋体" w:hAnsi="宋体" w:eastAsia="宋体" w:cs="宋体"/>
                <w:color w:val="auto"/>
                <w:sz w:val="20"/>
                <w:szCs w:val="20"/>
                <w:lang w:val="zh-TW" w:eastAsia="zh-CN" w:bidi="zh-TW"/>
              </w:rPr>
              <w:t>造成</w:t>
            </w:r>
            <w:r>
              <w:rPr>
                <w:rFonts w:ascii="宋体" w:hAnsi="宋体" w:eastAsia="宋体" w:cs="宋体"/>
                <w:color w:val="auto"/>
                <w:sz w:val="20"/>
                <w:szCs w:val="20"/>
                <w:lang w:val="zh-TW" w:eastAsia="zh-TW" w:bidi="zh-TW"/>
              </w:rPr>
              <w:t>误导，责令限期改正后及时改正的</w:t>
            </w:r>
          </w:p>
        </w:tc>
        <w:tc>
          <w:tcPr>
            <w:tcW w:w="3950"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《中华人民共和国食品安全法》第七十一条 食品和食品添加剂的标签、说明书，不得含有虚假内容，不得涉及疾病预防、治疗功能。生产经营者对其提供的标签、说明书的内容负责。</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食品和食品添加剂的标签、说明书应当清楚、明显，生产日期、保质期等事项应当显著标注，容易辨识。</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食品和食品添加剂与其标签、说明书的内容不符的，不得上市销售。</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食品安全法》第一百二十五条第二款生产经营的食品、食品添加剂的标签、说明书存在瑕疵但不影响食品安全且不会对消费者造成误导的，由县级以上人民政府食品安全监督管理部门责令改正;拒不改正的，处二千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274" w:tblpY="174"/>
        <w:tblOverlap w:val="never"/>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0"/>
        <w:gridCol w:w="2910"/>
        <w:gridCol w:w="2040"/>
        <w:gridCol w:w="3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54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91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4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7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53" w:hRule="exact"/>
        </w:trPr>
        <w:tc>
          <w:tcPr>
            <w:tcW w:w="54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3</w:t>
            </w:r>
            <w:r>
              <w:rPr>
                <w:rFonts w:hint="eastAsia"/>
                <w:color w:val="auto"/>
                <w:lang w:val="en-US" w:eastAsia="zh-CN" w:bidi="zh-TW"/>
              </w:rPr>
              <w:t>6</w:t>
            </w:r>
          </w:p>
        </w:tc>
        <w:tc>
          <w:tcPr>
            <w:tcW w:w="291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生产许可证副本载明的同一食品类别内的事项、外设仓库地址发生变化，食品生产者未按规定报告或者食品生产者终止食品生产，食品生产许可被撤回、撤销或者食品生产许可证被吊销未按规定申请办理注销手续</w:t>
            </w:r>
          </w:p>
        </w:tc>
        <w:tc>
          <w:tcPr>
            <w:tcW w:w="2040" w:type="dxa"/>
            <w:shd w:val="clear" w:color="auto" w:fill="FFFFFF"/>
            <w:noWrap w:val="0"/>
            <w:vAlign w:val="center"/>
          </w:tcPr>
          <w:p>
            <w:pPr>
              <w:spacing w:line="35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《食品生产许</w:t>
            </w:r>
            <w:r>
              <w:rPr>
                <w:rFonts w:hint="eastAsia" w:eastAsia="宋体"/>
                <w:color w:val="auto"/>
                <w:lang w:eastAsia="zh-CN"/>
              </w:rPr>
              <w:t>可证</w:t>
            </w:r>
            <w:r>
              <w:rPr>
                <w:rFonts w:ascii="宋体" w:hAnsi="宋体" w:eastAsia="宋体" w:cs="宋体"/>
                <w:color w:val="auto"/>
                <w:sz w:val="20"/>
                <w:szCs w:val="20"/>
                <w:lang w:val="zh-TW" w:eastAsia="zh-TW" w:bidi="zh-TW"/>
              </w:rPr>
              <w:t>管埋办法》第二</w:t>
            </w:r>
            <w:r>
              <w:rPr>
                <w:rFonts w:ascii="宋体" w:hAnsi="宋体" w:eastAsia="宋体" w:cs="宋体"/>
                <w:color w:val="auto"/>
                <w:sz w:val="20"/>
                <w:szCs w:val="20"/>
                <w:lang w:val="zh-CN" w:eastAsia="zh-CN" w:bidi="zh-CN"/>
              </w:rPr>
              <w:t>十—条</w:t>
            </w:r>
            <w:r>
              <w:rPr>
                <w:rFonts w:ascii="宋体" w:hAnsi="宋体" w:eastAsia="宋体" w:cs="宋体"/>
                <w:color w:val="auto"/>
                <w:sz w:val="20"/>
                <w:szCs w:val="20"/>
                <w:lang w:val="zh-TW" w:eastAsia="zh-TW" w:bidi="zh-TW"/>
              </w:rPr>
              <w:t>第三款食品生产许可证副本载明的同一食品类别内的事项发生变化的，食品生产者应当在变化后</w:t>
            </w:r>
            <w:r>
              <w:rPr>
                <w:color w:val="auto"/>
                <w:lang w:val="zh-TW" w:eastAsia="zh-TW" w:bidi="zh-TW"/>
              </w:rPr>
              <w:t>10</w:t>
            </w:r>
            <w:r>
              <w:rPr>
                <w:rFonts w:ascii="宋体" w:hAnsi="宋体" w:eastAsia="宋体" w:cs="宋体"/>
                <w:color w:val="auto"/>
                <w:sz w:val="20"/>
                <w:szCs w:val="20"/>
                <w:lang w:val="zh-TW" w:eastAsia="zh-TW" w:bidi="zh-TW"/>
              </w:rPr>
              <w:t>个工作日内向原发证的市场监督管理部门报告。第四十条第一款食品生产者终止食品 生产,食品生产许可被撤回、撤销,应当在</w:t>
            </w:r>
            <w:r>
              <w:rPr>
                <w:color w:val="auto"/>
                <w:lang w:val="zh-TW" w:eastAsia="zh-TW" w:bidi="zh-TW"/>
              </w:rPr>
              <w:t>20</w:t>
            </w:r>
            <w:r>
              <w:rPr>
                <w:rFonts w:ascii="宋体" w:hAnsi="宋体" w:eastAsia="宋体" w:cs="宋体"/>
                <w:color w:val="auto"/>
                <w:sz w:val="20"/>
                <w:szCs w:val="20"/>
                <w:lang w:val="zh-TW" w:eastAsia="zh-TW" w:bidi="zh-TW"/>
              </w:rPr>
              <w:t>个工作日内向原发证的市场监督管理部门申请办理注销手续。</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生产许可管理办法》五十三条三款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 未按规定申请办理注销手续的，由原发证的市场监督管理部门责令改正；拒不改正的，给予警告,并处</w:t>
            </w:r>
            <w:r>
              <w:rPr>
                <w:color w:val="auto"/>
                <w:lang w:val="zh-TW" w:eastAsia="zh-TW" w:bidi="zh-TW"/>
              </w:rPr>
              <w:t>5000</w:t>
            </w:r>
            <w:r>
              <w:rPr>
                <w:rFonts w:ascii="宋体" w:hAnsi="宋体" w:eastAsia="宋体" w:cs="宋体"/>
                <w:color w:val="auto"/>
                <w:sz w:val="20"/>
                <w:szCs w:val="20"/>
                <w:lang w:val="zh-TW" w:eastAsia="zh-TW" w:bidi="zh-TW"/>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58" w:hRule="exact"/>
        </w:trPr>
        <w:tc>
          <w:tcPr>
            <w:tcW w:w="540"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3</w:t>
            </w:r>
            <w:r>
              <w:rPr>
                <w:rFonts w:hint="eastAsia"/>
                <w:color w:val="auto"/>
                <w:sz w:val="20"/>
                <w:szCs w:val="20"/>
                <w:lang w:val="en-US" w:eastAsia="zh-CN" w:bidi="zh-TW"/>
              </w:rPr>
              <w:t>7</w:t>
            </w:r>
          </w:p>
        </w:tc>
        <w:tc>
          <w:tcPr>
            <w:tcW w:w="2910"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违反规定，食品经营者外设仓库地址发生变化未按规定报告或者食品经营者终止食品经营,食品经营许可被撤回、撤销或者食品经营许可证被吊销未按规定申请办理注销手续</w:t>
            </w:r>
          </w:p>
        </w:tc>
        <w:tc>
          <w:tcPr>
            <w:tcW w:w="2040"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97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《食品经营许可管理办法》第二十七条第二款经营场所发生变化的，应当重新申请食品经营许可。</w:t>
            </w:r>
            <w:r>
              <w:rPr>
                <w:rFonts w:hint="eastAsia" w:ascii="宋体" w:hAnsi="宋体" w:eastAsia="宋体" w:cs="宋体"/>
                <w:color w:val="auto"/>
                <w:sz w:val="20"/>
                <w:szCs w:val="20"/>
                <w:lang w:val="zh-TW" w:eastAsia="zh-CN" w:bidi="zh-TW"/>
              </w:rPr>
              <w:t>外</w:t>
            </w:r>
            <w:r>
              <w:rPr>
                <w:rFonts w:ascii="宋体" w:hAnsi="宋体" w:eastAsia="宋体" w:cs="宋体"/>
                <w:color w:val="auto"/>
                <w:sz w:val="20"/>
                <w:szCs w:val="20"/>
                <w:lang w:val="zh-TW" w:eastAsia="zh-TW" w:bidi="zh-TW"/>
              </w:rPr>
              <w:t>设仓库地址发生变化的,食品经营者应当在变化后</w:t>
            </w:r>
            <w:r>
              <w:rPr>
                <w:color w:val="auto"/>
                <w:lang w:val="zh-TW" w:eastAsia="zh-TW" w:bidi="zh-TW"/>
              </w:rPr>
              <w:t>10</w:t>
            </w:r>
            <w:r>
              <w:rPr>
                <w:rFonts w:ascii="宋体" w:hAnsi="宋体" w:eastAsia="宋体" w:cs="宋体"/>
                <w:color w:val="auto"/>
                <w:sz w:val="20"/>
                <w:szCs w:val="20"/>
                <w:lang w:val="zh-TW" w:eastAsia="zh-TW" w:bidi="zh-TW"/>
              </w:rPr>
              <w:t>个工作日内向原发证的食品药品监督管理部门报告。</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第三十六条第一款食品经营者终止食品经营，食品经营许可被撤回、撤销或者食品经营许可证被吊销的，应当在</w:t>
            </w:r>
            <w:r>
              <w:rPr>
                <w:color w:val="auto"/>
                <w:lang w:val="zh-TW" w:eastAsia="zh-TW" w:bidi="zh-TW"/>
              </w:rPr>
              <w:t>30</w:t>
            </w:r>
            <w:r>
              <w:rPr>
                <w:rFonts w:ascii="宋体" w:hAnsi="宋体" w:eastAsia="宋体" w:cs="宋体"/>
                <w:color w:val="auto"/>
                <w:sz w:val="20"/>
                <w:szCs w:val="20"/>
                <w:lang w:val="zh-TW" w:eastAsia="zh-TW" w:bidi="zh-TW"/>
              </w:rPr>
              <w:t>个工作日内向原发证的食品药品监督管理部门申请办理注销手续。</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第四十九条第二款违反本办法第二十七条第二款规定或者第三十六条第一款规定,食品经营者外设仓库地址发生变 化，未按规定报告的，或者食品经营者 终止食品经营,食品经营许可被撤回、撤销或者食品经营许可证被吊销,未按规定申请办理注销手续的，由原发证的食品药品监督管理部门责令改正；拒不改正的，给予警告,并处</w:t>
            </w:r>
            <w:r>
              <w:rPr>
                <w:color w:val="auto"/>
                <w:lang w:val="zh-TW" w:eastAsia="zh-TW" w:bidi="zh-TW"/>
              </w:rPr>
              <w:t>2000</w:t>
            </w:r>
            <w:r>
              <w:rPr>
                <w:rFonts w:ascii="宋体" w:hAnsi="宋体" w:eastAsia="宋体" w:cs="宋体"/>
                <w:color w:val="auto"/>
                <w:sz w:val="20"/>
                <w:szCs w:val="20"/>
                <w:lang w:val="zh-TW" w:eastAsia="zh-TW" w:bidi="zh-TW"/>
              </w:rPr>
              <w:t>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244" w:tblpY="52"/>
        <w:tblOverlap w:val="never"/>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5"/>
        <w:gridCol w:w="2910"/>
        <w:gridCol w:w="2010"/>
        <w:gridCol w:w="4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58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910" w:type="dxa"/>
            <w:shd w:val="clear" w:color="auto" w:fill="FFFFFF"/>
            <w:noWrap w:val="0"/>
            <w:vAlign w:val="center"/>
          </w:tcPr>
          <w:p>
            <w:pPr>
              <w:ind w:firstLine="46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10"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02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9" w:hRule="exact"/>
        </w:trPr>
        <w:tc>
          <w:tcPr>
            <w:tcW w:w="585" w:type="dxa"/>
            <w:shd w:val="clear" w:color="auto" w:fill="FFFFFF"/>
            <w:noWrap w:val="0"/>
            <w:vAlign w:val="center"/>
          </w:tcPr>
          <w:p>
            <w:pPr>
              <w:rPr>
                <w:rFonts w:hint="default" w:ascii="宋体" w:hAnsi="宋体" w:eastAsia="宋体" w:cs="宋体"/>
                <w:color w:val="auto"/>
                <w:sz w:val="20"/>
                <w:szCs w:val="20"/>
                <w:lang w:val="en-US" w:eastAsia="zh-CN" w:bidi="zh-TW"/>
              </w:rPr>
            </w:pPr>
            <w:r>
              <w:rPr>
                <w:rFonts w:hint="eastAsia"/>
                <w:color w:val="auto"/>
                <w:sz w:val="20"/>
                <w:szCs w:val="20"/>
                <w:lang w:val="en-US" w:eastAsia="zh-CN" w:bidi="zh-TW"/>
              </w:rPr>
              <w:t>38</w:t>
            </w:r>
          </w:p>
        </w:tc>
        <w:tc>
          <w:tcPr>
            <w:tcW w:w="2910" w:type="dxa"/>
            <w:shd w:val="clear" w:color="auto" w:fill="FFFFFF"/>
            <w:noWrap w:val="0"/>
            <w:vAlign w:val="center"/>
          </w:tcPr>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食品生产者未按规定在生产场所的显著位置悬挂或者摆放食品生产许可证的</w:t>
            </w:r>
          </w:p>
        </w:tc>
        <w:tc>
          <w:tcPr>
            <w:tcW w:w="2010" w:type="dxa"/>
            <w:shd w:val="clear" w:color="auto" w:fill="FFFFFF"/>
            <w:noWrap w:val="0"/>
            <w:vAlign w:val="center"/>
          </w:tcPr>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402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《食品生产许可管理办法》第三十一条第二款食品生产者应当在生产场所的显著位置悬挂或者摆放食品生产许可证正本。</w:t>
            </w:r>
          </w:p>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第五十二条弟二款违反本办法第三十一条第二款规定，食品生产者未按规定在生产场所的显著位置悬挂或者摆放食品生产许可证的，由县级以上地方食品 药品监督管理部门责令改正;拒不改正的，给予警告。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67" w:hRule="exact"/>
        </w:trPr>
        <w:tc>
          <w:tcPr>
            <w:tcW w:w="585" w:type="dxa"/>
            <w:shd w:val="clear" w:color="auto" w:fill="FFFFFF"/>
            <w:noWrap w:val="0"/>
            <w:vAlign w:val="center"/>
          </w:tcPr>
          <w:p>
            <w:pPr>
              <w:rPr>
                <w:rFonts w:hint="default" w:ascii="宋体" w:hAnsi="宋体" w:eastAsia="宋体" w:cs="宋体"/>
                <w:color w:val="auto"/>
                <w:lang w:val="en-US" w:eastAsia="zh-CN" w:bidi="zh-TW"/>
              </w:rPr>
            </w:pPr>
            <w:r>
              <w:rPr>
                <w:rFonts w:hint="eastAsia"/>
                <w:color w:val="auto"/>
                <w:lang w:val="en-US" w:eastAsia="zh-CN" w:bidi="zh-TW"/>
              </w:rPr>
              <w:t>39</w:t>
            </w:r>
          </w:p>
        </w:tc>
        <w:tc>
          <w:tcPr>
            <w:tcW w:w="2910" w:type="dxa"/>
            <w:shd w:val="clear" w:color="auto" w:fill="FFFFFF"/>
            <w:noWrap w:val="0"/>
            <w:vAlign w:val="center"/>
          </w:tcPr>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食品经营者未按规定在经营场所的显著位置悬挂或者摆放食品经营许可证的</w:t>
            </w:r>
          </w:p>
        </w:tc>
        <w:tc>
          <w:tcPr>
            <w:tcW w:w="2010" w:type="dxa"/>
            <w:shd w:val="clear" w:color="auto" w:fill="FFFFFF"/>
            <w:noWrap w:val="0"/>
            <w:vAlign w:val="center"/>
          </w:tcPr>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402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《食品经营许可管理办法》第二十六条第二款食品经营者应当在经营场所的显著位置悬挂或者摆放食品经营许可证正本。</w:t>
            </w:r>
          </w:p>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第四十八条第二款违反本办法第二十六条第二款规定,食品经营者未按规定在经营场所的显著位置悬挂或者摆放食品经营许可证的，由县级以上地方食品药品监督管理部门责令改正;拒不改正的，给予警告。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7" w:hRule="exact"/>
        </w:trPr>
        <w:tc>
          <w:tcPr>
            <w:tcW w:w="585" w:type="dxa"/>
            <w:shd w:val="clear" w:color="auto" w:fill="FFFFFF"/>
            <w:noWrap w:val="0"/>
            <w:vAlign w:val="center"/>
          </w:tcPr>
          <w:p>
            <w:pPr>
              <w:ind w:firstLine="140" w:firstLineChars="0"/>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4</w:t>
            </w:r>
            <w:r>
              <w:rPr>
                <w:rFonts w:hint="eastAsia"/>
                <w:color w:val="auto"/>
                <w:sz w:val="20"/>
                <w:szCs w:val="20"/>
                <w:lang w:val="en-US" w:eastAsia="zh-CN" w:bidi="zh-TW"/>
              </w:rPr>
              <w:t>0</w:t>
            </w:r>
          </w:p>
        </w:tc>
        <w:tc>
          <w:tcPr>
            <w:tcW w:w="2910"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网络餐饮服务第三方平台提 供者未按要求建立、执行并公 幵相关制度的</w:t>
            </w:r>
          </w:p>
        </w:tc>
        <w:tc>
          <w:tcPr>
            <w:tcW w:w="2010"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首次被发现，在责令改正的期限内改正，没有造成危害后果的</w:t>
            </w:r>
          </w:p>
        </w:tc>
        <w:tc>
          <w:tcPr>
            <w:tcW w:w="402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《网络餐饮服务食品安全监督管理办法》第六条网络餐饮服务第三方平台 提供者应当建立并执行入网餐饮服务提 供者审查登记、食品安全违法行为制止 及报告、严重违法行为平台服务停止、 食品安全事故处置等制度，并在网络平 台上公开相关制度。</w:t>
            </w:r>
          </w:p>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第二十九条违反本办法第六条规定，网络餐饮服务第三方平台提供者未按要求建立、执行并公开相关制度的，由县级以上地方食品药品监督管理部门责令改正，给予警告；拒不改正的，处</w:t>
            </w:r>
            <w:r>
              <w:rPr>
                <w:color w:val="auto"/>
                <w:lang w:val="zh-TW" w:eastAsia="zh-TW" w:bidi="zh-TW"/>
              </w:rPr>
              <w:t xml:space="preserve">5000 </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234" w:tblpY="75"/>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80"/>
        <w:gridCol w:w="2910"/>
        <w:gridCol w:w="2025"/>
        <w:gridCol w:w="4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58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91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2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03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331" w:hRule="exact"/>
        </w:trPr>
        <w:tc>
          <w:tcPr>
            <w:tcW w:w="580" w:type="dxa"/>
            <w:shd w:val="clear" w:color="auto" w:fill="FFFFFF"/>
            <w:noWrap w:val="0"/>
            <w:vAlign w:val="center"/>
          </w:tcPr>
          <w:p>
            <w:pPr>
              <w:ind w:firstLine="140"/>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4</w:t>
            </w:r>
            <w:r>
              <w:rPr>
                <w:rFonts w:hint="eastAsia"/>
                <w:color w:val="auto"/>
                <w:sz w:val="20"/>
                <w:szCs w:val="20"/>
                <w:lang w:val="en-US" w:eastAsia="zh-CN" w:bidi="zh-TW"/>
              </w:rPr>
              <w:t>1</w:t>
            </w:r>
          </w:p>
        </w:tc>
        <w:tc>
          <w:tcPr>
            <w:tcW w:w="291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网络餐饮服务第三方平台提供者未设置专门的食品安全管理机构酒己备专职食品安全管理人员或者未按要求对食品安全管理人员进行培训、考核并保存记录的</w:t>
            </w:r>
          </w:p>
        </w:tc>
        <w:tc>
          <w:tcPr>
            <w:tcW w:w="2025"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首次被发现,在责令改正的期限内改正，没有造成危害后果的</w:t>
            </w:r>
          </w:p>
        </w:tc>
        <w:tc>
          <w:tcPr>
            <w:tcW w:w="4035"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餐饮服务食品安全监督管理办法》第七条网络餐饮服务第三方平台提供者应当设置专门的食品安全管理机构,配备专职食品安全管理人员,每年对食品安全管理人员进行培训和考核。培训和考核记录保存期限不得少于两年。经考核不具备食品安全管理能力的,不得上岗。</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第三十条违反本办法第七条规定,网络餐饮服务第三方平台提供者未设置专门的食品安全管理机构，配备专职食品安全管理人员，或者未按要求对食品安全管理人员进行培训、考核并保存记录 的，由县级以上地方食品药品监督管理 部门责令改正，给予警告；拒不改正的, 处</w:t>
            </w:r>
            <w:r>
              <w:rPr>
                <w:color w:val="auto"/>
                <w:lang w:val="zh-TW" w:eastAsia="zh-TW" w:bidi="zh-TW"/>
              </w:rPr>
              <w:t>5000</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41" w:hRule="exact"/>
        </w:trPr>
        <w:tc>
          <w:tcPr>
            <w:tcW w:w="580"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4</w:t>
            </w:r>
            <w:r>
              <w:rPr>
                <w:rFonts w:hint="eastAsia"/>
                <w:color w:val="auto"/>
                <w:sz w:val="20"/>
                <w:szCs w:val="20"/>
                <w:lang w:val="en-US" w:eastAsia="zh-CN" w:bidi="zh-TW"/>
              </w:rPr>
              <w:t>2</w:t>
            </w:r>
          </w:p>
        </w:tc>
        <w:tc>
          <w:tcPr>
            <w:tcW w:w="2910" w:type="dxa"/>
            <w:shd w:val="clear" w:color="auto" w:fill="FFFFFF"/>
            <w:noWrap w:val="0"/>
            <w:vAlign w:val="center"/>
          </w:tcPr>
          <w:p>
            <w:pPr>
              <w:spacing w:line="362"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通过自建网站交易的食品生 产经营者未履行相应备案义 务</w:t>
            </w:r>
          </w:p>
        </w:tc>
        <w:tc>
          <w:tcPr>
            <w:tcW w:w="2025"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首次被发现，责令改正后及时改正的</w:t>
            </w:r>
          </w:p>
        </w:tc>
        <w:tc>
          <w:tcPr>
            <w:tcW w:w="4035"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 xml:space="preserve">《网络食品安全违法行为查处办法》第八条第二款通过自建网站交易的食品生产经营者应当在通信主管部门批准后 </w:t>
            </w:r>
            <w:r>
              <w:rPr>
                <w:color w:val="auto"/>
                <w:lang w:val="zh-TW" w:eastAsia="zh-TW" w:bidi="zh-TW"/>
              </w:rPr>
              <w:t>30</w:t>
            </w:r>
            <w:r>
              <w:rPr>
                <w:rFonts w:ascii="宋体" w:hAnsi="宋体" w:eastAsia="宋体" w:cs="宋体"/>
                <w:color w:val="auto"/>
                <w:sz w:val="20"/>
                <w:szCs w:val="20"/>
                <w:lang w:val="zh-TW" w:eastAsia="zh-TW" w:bidi="zh-TW"/>
              </w:rPr>
              <w:t>个工作日内，向所在地市、县级食品 药品监督管理部门备案，取得备案号。</w:t>
            </w:r>
          </w:p>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网络食品安全违法行为查处办法》第二十九条违反本办法第八条规定,网络食品交易第三方平台提供者和通过自建网站交易的食品生产经营者未履行相应备案义务的，由县级以上地方食品药品监督管理部门责令改正，给予警告；拒不改正的，处</w:t>
            </w:r>
            <w:r>
              <w:rPr>
                <w:color w:val="auto"/>
                <w:lang w:val="zh-TW" w:eastAsia="zh-TW" w:bidi="zh-TW"/>
              </w:rPr>
              <w:t>5000</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189" w:tblpY="60"/>
        <w:tblOverlap w:val="never"/>
        <w:tblW w:w="95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25"/>
        <w:gridCol w:w="2910"/>
        <w:gridCol w:w="2010"/>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62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91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10"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00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26" w:hRule="exact"/>
        </w:trPr>
        <w:tc>
          <w:tcPr>
            <w:tcW w:w="625"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4</w:t>
            </w:r>
            <w:r>
              <w:rPr>
                <w:rFonts w:hint="eastAsia"/>
                <w:color w:val="auto"/>
                <w:lang w:val="en-US" w:eastAsia="zh-CN" w:bidi="zh-TW"/>
              </w:rPr>
              <w:t>3</w:t>
            </w:r>
          </w:p>
        </w:tc>
        <w:tc>
          <w:tcPr>
            <w:tcW w:w="2910" w:type="dxa"/>
            <w:shd w:val="clear" w:color="auto" w:fill="FFFFFF"/>
            <w:noWrap w:val="0"/>
            <w:vAlign w:val="center"/>
          </w:tcPr>
          <w:p>
            <w:pPr>
              <w:spacing w:line="362"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通过自建网站交易的食品生产经营者不具备数据备份、故障恢复等技术条件不能保障网络食品交易数据和资料的可靠性与安全性</w:t>
            </w:r>
          </w:p>
        </w:tc>
        <w:tc>
          <w:tcPr>
            <w:tcW w:w="2010"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首次被发现，责令改正后及时改正的</w:t>
            </w:r>
          </w:p>
        </w:tc>
        <w:tc>
          <w:tcPr>
            <w:tcW w:w="4005" w:type="dxa"/>
            <w:shd w:val="clear" w:color="auto" w:fill="FFFFFF"/>
            <w:noWrap w:val="0"/>
            <w:vAlign w:val="center"/>
          </w:tcPr>
          <w:p>
            <w:pPr>
              <w:spacing w:line="359"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《网络食品安全违法行为查处办法》第九条网络食品交易第三方平台提供者和通过自建网站交易的食品生产经营者应当具备数据备份、故障恢复等技术条件, 保障网络食品交易数据和资料的可靠性 与安全性。</w:t>
            </w:r>
          </w:p>
          <w:p>
            <w:pPr>
              <w:spacing w:line="359"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三十条违反本办法第九条规定,网络食品交易第三方平台提供者和通过自建网站交易的食品生产经营者不具备数据备份、故障恢复等技术条件，不能保障网络食品交易数据和资料的可靠性与安全性的，由县级以上地方食品药品监督管理部门责令改正，给予警告;拒不改正的，处</w:t>
            </w:r>
            <w:r>
              <w:rPr>
                <w:color w:val="auto"/>
                <w:lang w:val="zh-TW" w:eastAsia="zh-TW" w:bidi="zh-TW"/>
              </w:rPr>
              <w:t>3</w:t>
            </w:r>
            <w:r>
              <w:rPr>
                <w:rFonts w:ascii="宋体" w:hAnsi="宋体" w:eastAsia="宋体" w:cs="宋体"/>
                <w:color w:val="auto"/>
                <w:sz w:val="20"/>
                <w:szCs w:val="20"/>
                <w:lang w:val="zh-TW" w:eastAsia="zh-TW" w:bidi="zh-TW"/>
              </w:rPr>
              <w:t>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06" w:hRule="exact"/>
        </w:trPr>
        <w:tc>
          <w:tcPr>
            <w:tcW w:w="625"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4</w:t>
            </w:r>
            <w:r>
              <w:rPr>
                <w:rFonts w:hint="eastAsia"/>
                <w:color w:val="auto"/>
                <w:lang w:val="en-US" w:eastAsia="zh-CN" w:bidi="zh-TW"/>
              </w:rPr>
              <w:t>4</w:t>
            </w:r>
          </w:p>
        </w:tc>
        <w:tc>
          <w:tcPr>
            <w:tcW w:w="2910"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网络食品交易第三方平台提供者未按要求建立入网食品生产经营者审查登记、食品安全自查、食品安全违法行为制止及报告、严重违法行为平台服务停止、食品安全投诉举报处理等制度的或者未公开以上制度的</w:t>
            </w:r>
          </w:p>
        </w:tc>
        <w:tc>
          <w:tcPr>
            <w:tcW w:w="2010"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首次被发现,立即自行改正或在责令改正的期限内改正的。</w:t>
            </w:r>
          </w:p>
        </w:tc>
        <w:tc>
          <w:tcPr>
            <w:tcW w:w="4005"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十条网络食品交易第三方平台提供者应当建立入网食品生产经营者审查登记、食品安全自查、食品安全违法行为制止及报告、严重违法行为平台服务停止、食品安全投诉举报处理等制度，并在网络平台上公开。</w:t>
            </w:r>
          </w:p>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第三十一条违反本办法第十条规定，网络食品交易第三方平台提供者未按要建立入网食品生产经营者审査登记、食品安全自查、食品安全违法行为制止及报告、严重违法行为平台服务停止、食 品安全投诉举报处理等制度的或者未公幵以上制度的，由县级以上地方食品药品监督管理部门责令改正，给予警告;</w:t>
            </w:r>
          </w:p>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拒不改正的，处</w:t>
            </w:r>
            <w:r>
              <w:rPr>
                <w:color w:val="auto"/>
                <w:lang w:val="zh-TW" w:eastAsia="zh-TW" w:bidi="zh-TW"/>
              </w:rPr>
              <w:t>5000</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w:t>
            </w:r>
            <w:r>
              <w:rPr>
                <w:rFonts w:ascii="宋体" w:hAnsi="宋体" w:eastAsia="宋体" w:cs="宋体"/>
                <w:color w:val="auto"/>
                <w:sz w:val="20"/>
                <w:szCs w:val="20"/>
                <w:lang w:val="zh-CN" w:eastAsia="zh-CN" w:bidi="zh-CN"/>
              </w:rPr>
              <w:t>罚款。</w:t>
            </w:r>
          </w:p>
        </w:tc>
      </w:tr>
    </w:tbl>
    <w:p>
      <w:pPr>
        <w:spacing w:line="1" w:lineRule="exact"/>
        <w:rPr>
          <w:sz w:val="2"/>
          <w:szCs w:val="2"/>
          <w:lang w:eastAsia="zh-CN"/>
        </w:rPr>
      </w:pPr>
      <w:r>
        <w:rPr>
          <w:lang w:eastAsia="zh-CN"/>
        </w:rPr>
        <w:br w:type="page"/>
      </w:r>
    </w:p>
    <w:p>
      <w:pPr>
        <w:spacing w:line="1" w:lineRule="exact"/>
        <w:rPr>
          <w:lang w:eastAsia="zh-CN"/>
        </w:rPr>
      </w:pPr>
    </w:p>
    <w:p>
      <w:pPr>
        <w:spacing w:line="1" w:lineRule="exact"/>
        <w:rPr>
          <w:sz w:val="2"/>
          <w:szCs w:val="2"/>
          <w:lang w:eastAsia="zh-CN"/>
        </w:rPr>
      </w:pPr>
    </w:p>
    <w:tbl>
      <w:tblPr>
        <w:tblStyle w:val="4"/>
        <w:tblpPr w:leftFromText="180" w:rightFromText="180" w:vertAnchor="text" w:horzAnchor="page" w:tblpX="1174" w:tblpY="170"/>
        <w:tblOverlap w:val="never"/>
        <w:tblW w:w="9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0"/>
        <w:gridCol w:w="2683"/>
        <w:gridCol w:w="2162"/>
        <w:gridCol w:w="4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49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683"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62"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20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63" w:hRule="exact"/>
        </w:trPr>
        <w:tc>
          <w:tcPr>
            <w:tcW w:w="49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4</w:t>
            </w:r>
            <w:r>
              <w:rPr>
                <w:rFonts w:hint="eastAsia"/>
                <w:color w:val="auto"/>
                <w:lang w:val="en-US" w:eastAsia="zh-CN" w:bidi="zh-TW"/>
              </w:rPr>
              <w:t>5</w:t>
            </w:r>
          </w:p>
        </w:tc>
        <w:tc>
          <w:tcPr>
            <w:tcW w:w="2683"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网络食品交易第三方平台提 供者未建立入网食品生产经 营者档案、记录入网食品生产 经营者相关信息的</w:t>
            </w:r>
          </w:p>
        </w:tc>
        <w:tc>
          <w:tcPr>
            <w:tcW w:w="2162"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首次被发现，立即自行改正或在责令改正的期限 内改正的。</w:t>
            </w:r>
          </w:p>
        </w:tc>
        <w:tc>
          <w:tcPr>
            <w:tcW w:w="42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《网络食品安全违法行为查处办法》第十二条网络食品交易第三方平台提供者应当建立入网食品生产经营者档案,记录入网食品生产经营者的基本情况</w:t>
            </w:r>
            <w:r>
              <w:rPr>
                <w:rFonts w:ascii="宋体" w:hAnsi="宋体" w:eastAsia="宋体" w:cs="宋体"/>
                <w:i/>
                <w:iCs/>
                <w:color w:val="auto"/>
                <w:sz w:val="20"/>
                <w:szCs w:val="20"/>
                <w:lang w:val="zh-TW" w:eastAsia="zh-TW" w:bidi="zh-TW"/>
              </w:rPr>
              <w:t>、</w:t>
            </w:r>
            <w:r>
              <w:rPr>
                <w:rFonts w:ascii="宋体" w:hAnsi="宋体" w:eastAsia="宋体" w:cs="宋体"/>
                <w:color w:val="auto"/>
                <w:sz w:val="20"/>
                <w:szCs w:val="20"/>
                <w:lang w:val="zh-TW" w:eastAsia="zh-TW" w:bidi="zh-TW"/>
              </w:rPr>
              <w:t>食品安全管理人员等信息。</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第三十三条违反本办法第十二条规定网络食品交易第三方平台提供者未建立入网食品生产经营者档案、记录入网食 品生产经营者相关信息的，由县级以上地方食品药品监督管理部门责令改正, 给予警告；拒不改正的,处</w:t>
            </w:r>
            <w:r>
              <w:rPr>
                <w:color w:val="auto"/>
                <w:lang w:val="zh-TW" w:eastAsia="zh-TW" w:bidi="zh-TW"/>
              </w:rPr>
              <w:t>5000</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38" w:hRule="exact"/>
        </w:trPr>
        <w:tc>
          <w:tcPr>
            <w:tcW w:w="490"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4</w:t>
            </w:r>
            <w:r>
              <w:rPr>
                <w:rFonts w:hint="eastAsia"/>
                <w:color w:val="auto"/>
                <w:lang w:val="en-US" w:eastAsia="zh-CN" w:bidi="zh-TW"/>
              </w:rPr>
              <w:t>6</w:t>
            </w:r>
          </w:p>
        </w:tc>
        <w:tc>
          <w:tcPr>
            <w:tcW w:w="2683" w:type="dxa"/>
            <w:shd w:val="clear" w:color="auto" w:fill="FFFFFF"/>
            <w:noWrap w:val="0"/>
            <w:vAlign w:val="center"/>
          </w:tcPr>
          <w:p>
            <w:pPr>
              <w:spacing w:line="362"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网络食品交易第三方平台提 供者未设置专门的网络食品 安全</w:t>
            </w:r>
            <w:r>
              <w:rPr>
                <w:rFonts w:hint="eastAsia" w:eastAsia="宋体"/>
                <w:color w:val="auto"/>
                <w:lang w:eastAsia="zh-CN"/>
              </w:rPr>
              <w:t>管</w:t>
            </w:r>
            <w:r>
              <w:rPr>
                <w:rFonts w:ascii="宋体" w:hAnsi="宋体" w:eastAsia="宋体" w:cs="宋体"/>
                <w:color w:val="auto"/>
                <w:sz w:val="20"/>
                <w:szCs w:val="20"/>
                <w:lang w:val="zh-TW" w:eastAsia="zh-TW" w:bidi="zh-TW"/>
              </w:rPr>
              <w:t>里机构或者指定专职 食品安全管理人员对平台上 的食品安全经营行为及信息 逬行检查的</w:t>
            </w:r>
          </w:p>
        </w:tc>
        <w:tc>
          <w:tcPr>
            <w:tcW w:w="2162"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首次被发现，立即自行改正或在责令改正的期限 内改正的。</w:t>
            </w:r>
          </w:p>
        </w:tc>
        <w:tc>
          <w:tcPr>
            <w:tcW w:w="42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《网络食品安全违法行为查处办法》第十四条第一款网络食品交易第三方平台提供者应当设置专门的网络食品安全管理机构或者指定专职食品安全管理人员，对平台上的食品经营行为及信息进行检査。</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w:t>
            </w:r>
            <w:r>
              <w:rPr>
                <w:color w:val="auto"/>
                <w:lang w:val="zh-TW" w:eastAsia="zh-TW" w:bidi="zh-TW"/>
              </w:rPr>
              <w:t xml:space="preserve">5000 </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708" w:hRule="exact"/>
        </w:trPr>
        <w:tc>
          <w:tcPr>
            <w:tcW w:w="490"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4</w:t>
            </w:r>
            <w:r>
              <w:rPr>
                <w:rFonts w:hint="eastAsia"/>
                <w:color w:val="auto"/>
                <w:lang w:val="en-US" w:eastAsia="zh-CN" w:bidi="zh-TW"/>
              </w:rPr>
              <w:t>7</w:t>
            </w:r>
          </w:p>
        </w:tc>
        <w:tc>
          <w:tcPr>
            <w:tcW w:w="2683" w:type="dxa"/>
            <w:shd w:val="clear" w:color="auto" w:fill="FFFFFF"/>
            <w:noWrap w:val="0"/>
            <w:vAlign w:val="center"/>
          </w:tcPr>
          <w:p>
            <w:pPr>
              <w:spacing w:line="36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入网食品生产经营者未按要 求进行信息公示</w:t>
            </w:r>
          </w:p>
        </w:tc>
        <w:tc>
          <w:tcPr>
            <w:tcW w:w="2162" w:type="dxa"/>
            <w:shd w:val="clear" w:color="auto" w:fill="FFFFFF"/>
            <w:noWrap w:val="0"/>
            <w:vAlign w:val="center"/>
          </w:tcPr>
          <w:p>
            <w:pPr>
              <w:spacing w:line="358"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首次被发现，责令改正后及时改正的</w:t>
            </w:r>
          </w:p>
        </w:tc>
        <w:tc>
          <w:tcPr>
            <w:tcW w:w="420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网络食品安全违法行为查处办法》第十八条通过第三方平台进行交易的食品生产经营者应当在其经营活动主页面显著位置公示其食品生产经营许可证。通过自建网站交易的食品生产经营者应当在其网站首页显著位置公示营业执照、 食品生产经营许可证。</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餐饮服务提供者还应当同时公示其餐饮服务食品安全监督量化分级管理信息。相关信息应当画面清晰，容易辨识。</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《网络食品安全违法行为查处办法》第四十条违反本办法第十八条规定,入网食品生产经营者未按要求进行信息公示 的，由县级以上地方食品药品监督管理部门责令改正，给予警告；拒不改正的,处</w:t>
            </w:r>
            <w:r>
              <w:rPr>
                <w:color w:val="auto"/>
                <w:lang w:val="zh-TW" w:eastAsia="zh-TW" w:bidi="zh-TW"/>
              </w:rPr>
              <w:t>5000</w:t>
            </w:r>
            <w:r>
              <w:rPr>
                <w:rFonts w:ascii="宋体" w:hAnsi="宋体" w:eastAsia="宋体" w:cs="宋体"/>
                <w:color w:val="auto"/>
                <w:sz w:val="20"/>
                <w:szCs w:val="20"/>
                <w:lang w:val="zh-TW" w:eastAsia="zh-TW" w:bidi="zh-TW"/>
              </w:rPr>
              <w:t>元以上</w:t>
            </w:r>
            <w:r>
              <w:rPr>
                <w:color w:val="auto"/>
                <w:lang w:val="zh-TW" w:eastAsia="zh-TW" w:bidi="zh-TW"/>
              </w:rPr>
              <w:t>3</w:t>
            </w:r>
            <w:r>
              <w:rPr>
                <w:rFonts w:ascii="宋体" w:hAnsi="宋体" w:eastAsia="宋体" w:cs="宋体"/>
                <w:color w:val="auto"/>
                <w:sz w:val="20"/>
                <w:szCs w:val="20"/>
                <w:lang w:val="zh-TW" w:eastAsia="zh-TW" w:bidi="zh-TW"/>
              </w:rPr>
              <w:t>万元以下罚款。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174" w:tblpY="50"/>
        <w:tblOverlap w:val="never"/>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80"/>
        <w:gridCol w:w="2755"/>
        <w:gridCol w:w="2100"/>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48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5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00" w:type="dxa"/>
            <w:shd w:val="clear" w:color="auto" w:fill="FFFFFF"/>
            <w:noWrap w:val="0"/>
            <w:vAlign w:val="center"/>
          </w:tcPr>
          <w:p>
            <w:pPr>
              <w:jc w:val="both"/>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18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34" w:hRule="exact"/>
        </w:trPr>
        <w:tc>
          <w:tcPr>
            <w:tcW w:w="480" w:type="dxa"/>
            <w:shd w:val="clear" w:color="auto" w:fill="FFFFFF"/>
            <w:noWrap w:val="0"/>
            <w:vAlign w:val="center"/>
          </w:tcPr>
          <w:p>
            <w:pPr>
              <w:rPr>
                <w:rFonts w:hint="default" w:ascii="宋体" w:hAnsi="宋体" w:eastAsia="宋体" w:cs="宋体"/>
                <w:color w:val="auto"/>
                <w:lang w:val="en-US" w:eastAsia="zh-CN" w:bidi="zh-TW"/>
              </w:rPr>
            </w:pPr>
            <w:r>
              <w:rPr>
                <w:rFonts w:hint="eastAsia"/>
                <w:color w:val="auto"/>
                <w:lang w:val="en-US" w:eastAsia="zh-CN" w:bidi="zh-TW"/>
              </w:rPr>
              <w:t>48</w:t>
            </w:r>
          </w:p>
        </w:tc>
        <w:tc>
          <w:tcPr>
            <w:tcW w:w="2755" w:type="dxa"/>
            <w:shd w:val="clear" w:color="auto" w:fill="FFFFFF"/>
            <w:noWrap w:val="0"/>
            <w:vAlign w:val="center"/>
          </w:tcPr>
          <w:p>
            <w:pPr>
              <w:spacing w:line="355"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药品标签或者说明书印制时发生失误不影响用药安全的</w:t>
            </w:r>
          </w:p>
        </w:tc>
        <w:tc>
          <w:tcPr>
            <w:tcW w:w="210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没有主观故意, 责令限期改正后及时改正的</w:t>
            </w:r>
          </w:p>
        </w:tc>
        <w:tc>
          <w:tcPr>
            <w:tcW w:w="4185" w:type="dxa"/>
            <w:shd w:val="clear" w:color="auto" w:fill="FFFFFF"/>
            <w:noWrap w:val="0"/>
            <w:vAlign w:val="center"/>
          </w:tcPr>
          <w:p>
            <w:pPr>
              <w:spacing w:line="39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《中华人民共和国药品管理法》第四十九条第一款、第二款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74" w:hRule="exact"/>
        </w:trPr>
        <w:tc>
          <w:tcPr>
            <w:tcW w:w="480" w:type="dxa"/>
            <w:shd w:val="clear" w:color="auto" w:fill="FFFFFF"/>
            <w:noWrap w:val="0"/>
            <w:vAlign w:val="center"/>
          </w:tcPr>
          <w:p>
            <w:pPr>
              <w:rPr>
                <w:rFonts w:hint="default" w:ascii="宋体" w:hAnsi="宋体" w:eastAsia="宋体" w:cs="宋体"/>
                <w:color w:val="auto"/>
                <w:lang w:val="en-US" w:eastAsia="zh-CN" w:bidi="zh-TW"/>
              </w:rPr>
            </w:pPr>
            <w:r>
              <w:rPr>
                <w:rFonts w:hint="eastAsia" w:ascii="宋体" w:hAnsi="宋体" w:cs="宋体"/>
                <w:color w:val="auto"/>
                <w:lang w:val="en-US" w:eastAsia="zh-CN" w:bidi="zh-TW"/>
              </w:rPr>
              <w:t>49</w:t>
            </w:r>
          </w:p>
        </w:tc>
        <w:tc>
          <w:tcPr>
            <w:tcW w:w="2755" w:type="dxa"/>
            <w:shd w:val="clear" w:color="auto" w:fill="FFFFFF"/>
            <w:noWrap w:val="0"/>
            <w:vAlign w:val="center"/>
          </w:tcPr>
          <w:p>
            <w:pPr>
              <w:spacing w:line="360"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药品购销企业未及时登记购销记录,购销记录不全的</w:t>
            </w:r>
          </w:p>
        </w:tc>
        <w:tc>
          <w:tcPr>
            <w:tcW w:w="2100"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初次发现，属于一般性失误,责令限期改正后及时改正的</w:t>
            </w:r>
          </w:p>
        </w:tc>
        <w:tc>
          <w:tcPr>
            <w:tcW w:w="4185" w:type="dxa"/>
            <w:shd w:val="clear" w:color="auto" w:fill="FFFFFF"/>
            <w:noWrap w:val="0"/>
            <w:vAlign w:val="center"/>
          </w:tcPr>
          <w:p>
            <w:pPr>
              <w:spacing w:line="35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《中华人民共和国药品管理法》第五十七条、第一百三十条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8" w:hRule="exact"/>
        </w:trPr>
        <w:tc>
          <w:tcPr>
            <w:tcW w:w="48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5</w:t>
            </w:r>
            <w:r>
              <w:rPr>
                <w:rFonts w:hint="eastAsia"/>
                <w:color w:val="auto"/>
                <w:lang w:val="en-US" w:eastAsia="zh-CN" w:bidi="zh-TW"/>
              </w:rPr>
              <w:t>0</w:t>
            </w:r>
          </w:p>
        </w:tc>
        <w:tc>
          <w:tcPr>
            <w:tcW w:w="2755" w:type="dxa"/>
            <w:shd w:val="clear" w:color="auto" w:fill="FFFFFF"/>
            <w:noWrap w:val="0"/>
            <w:vAlign w:val="center"/>
          </w:tcPr>
          <w:p>
            <w:pPr>
              <w:spacing w:line="365"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未经</w:t>
            </w:r>
            <w:r>
              <w:rPr>
                <w:rFonts w:hint="eastAsia" w:ascii="宋体" w:hAnsi="宋体" w:eastAsia="宋体" w:cs="宋体"/>
                <w:color w:val="auto"/>
                <w:sz w:val="20"/>
                <w:szCs w:val="20"/>
                <w:lang w:val="zh-TW" w:eastAsia="zh-CN" w:bidi="zh-TW"/>
              </w:rPr>
              <w:t>备案</w:t>
            </w:r>
            <w:r>
              <w:rPr>
                <w:rFonts w:ascii="宋体" w:hAnsi="宋体" w:eastAsia="宋体" w:cs="宋体"/>
                <w:color w:val="auto"/>
                <w:sz w:val="20"/>
                <w:szCs w:val="20"/>
                <w:lang w:val="zh-TW" w:eastAsia="zh-TW" w:bidi="zh-TW"/>
              </w:rPr>
              <w:t>进口境外</w:t>
            </w:r>
            <w:r>
              <w:rPr>
                <w:rFonts w:hint="eastAsia" w:ascii="宋体" w:hAnsi="宋体" w:eastAsia="宋体" w:cs="宋体"/>
                <w:color w:val="auto"/>
                <w:sz w:val="20"/>
                <w:szCs w:val="20"/>
                <w:lang w:val="zh-TW" w:eastAsia="zh-CN" w:bidi="zh-TW"/>
              </w:rPr>
              <w:t>已</w:t>
            </w:r>
            <w:r>
              <w:rPr>
                <w:rFonts w:ascii="宋体" w:hAnsi="宋体" w:eastAsia="宋体" w:cs="宋体"/>
                <w:color w:val="auto"/>
                <w:sz w:val="20"/>
                <w:szCs w:val="20"/>
                <w:lang w:val="zh-TW" w:eastAsia="zh-TW" w:bidi="zh-TW"/>
              </w:rPr>
              <w:t>合法上市的药品的</w:t>
            </w:r>
          </w:p>
        </w:tc>
        <w:tc>
          <w:tcPr>
            <w:tcW w:w="2100"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首次发现，情节轻微，责令限期改正后及时改正</w:t>
            </w:r>
          </w:p>
        </w:tc>
        <w:tc>
          <w:tcPr>
            <w:tcW w:w="4185" w:type="dxa"/>
            <w:shd w:val="clear" w:color="auto" w:fill="FFFFFF"/>
            <w:noWrap w:val="0"/>
            <w:vAlign w:val="bottom"/>
          </w:tcPr>
          <w:p>
            <w:pPr>
              <w:spacing w:before="100"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《中华人民共和国药品管理法》第六十四条、第一百三十二条进口已获得药品证书的药品，未按照规定向允许进口的口岸所在地药品监督管理部门备案的，责令限期改正，给予警告，逾期不改正</w:t>
            </w:r>
          </w:p>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的吊销药品注册证书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108" w:hRule="exact"/>
        </w:trPr>
        <w:tc>
          <w:tcPr>
            <w:tcW w:w="480"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1</w:t>
            </w:r>
          </w:p>
        </w:tc>
        <w:tc>
          <w:tcPr>
            <w:tcW w:w="2755" w:type="dxa"/>
            <w:shd w:val="clear" w:color="auto" w:fill="FFFFFF"/>
            <w:noWrap w:val="0"/>
            <w:vAlign w:val="top"/>
          </w:tcPr>
          <w:p>
            <w:pPr>
              <w:spacing w:after="120"/>
              <w:rPr>
                <w:rFonts w:ascii="宋体" w:hAnsi="宋体" w:eastAsia="宋体" w:cs="宋体"/>
                <w:color w:val="auto"/>
                <w:sz w:val="20"/>
                <w:szCs w:val="20"/>
                <w:lang w:val="zh-TW" w:eastAsia="zh-TW" w:bidi="zh-TW"/>
              </w:rPr>
            </w:pPr>
          </w:p>
          <w:p>
            <w:pPr>
              <w:spacing w:after="120"/>
              <w:rPr>
                <w:rFonts w:ascii="宋体" w:hAnsi="宋体" w:eastAsia="宋体" w:cs="宋体"/>
                <w:color w:val="auto"/>
                <w:sz w:val="20"/>
                <w:szCs w:val="20"/>
                <w:lang w:val="zh-TW" w:eastAsia="zh-TW" w:bidi="zh-TW"/>
              </w:rPr>
            </w:pPr>
          </w:p>
          <w:p>
            <w:pPr>
              <w:spacing w:after="120"/>
              <w:rPr>
                <w:rFonts w:ascii="宋体" w:hAnsi="宋体" w:eastAsia="宋体" w:cs="宋体"/>
                <w:color w:val="auto"/>
                <w:sz w:val="20"/>
                <w:szCs w:val="20"/>
                <w:lang w:val="zh-TW" w:eastAsia="zh-TW" w:bidi="zh-TW"/>
              </w:rPr>
            </w:pPr>
          </w:p>
          <w:p>
            <w:pPr>
              <w:spacing w:after="120"/>
              <w:rPr>
                <w:rFonts w:ascii="宋体" w:hAnsi="宋体" w:eastAsia="宋体" w:cs="宋体"/>
                <w:color w:val="auto"/>
                <w:sz w:val="20"/>
                <w:szCs w:val="20"/>
                <w:lang w:val="zh-TW" w:eastAsia="zh-TW" w:bidi="zh-TW"/>
              </w:rPr>
            </w:pPr>
          </w:p>
          <w:p>
            <w:pPr>
              <w:spacing w:after="120"/>
              <w:rPr>
                <w:rFonts w:ascii="宋体" w:hAnsi="宋体" w:eastAsia="宋体" w:cs="宋体"/>
                <w:color w:val="auto"/>
                <w:sz w:val="20"/>
                <w:szCs w:val="20"/>
                <w:lang w:val="zh-TW" w:eastAsia="zh-TW" w:bidi="zh-TW"/>
              </w:rPr>
            </w:pPr>
          </w:p>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二类医疗器械经营单位未依照《医疗器械监督管理条例》</w:t>
            </w:r>
          </w:p>
          <w:p>
            <w:pPr>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规定备案</w:t>
            </w:r>
          </w:p>
        </w:tc>
        <w:tc>
          <w:tcPr>
            <w:tcW w:w="2100"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185"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医疗器械监督管理条例》第八条第一类医疗器械实行产品备案管理,第二类、第三类医疗器械实行产品注册管理。第三十条从事第二类医疗器械经营的，由经营企业向所在地设区的市级人民政府食品药品监督管理部门备案并提交其符合本条例第二十九条规定条件的证明资料。</w:t>
            </w:r>
          </w:p>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 xml:space="preserve">《医疗器械监督管理条例》第六十五条第一款未依照本条例规定备案的，由县级以上人民政府食品药品监督管理部门责令限期改正;逾期不改正的，向社会公告未备案单位和产品名称，可以处 </w:t>
            </w:r>
            <w:r>
              <w:rPr>
                <w:color w:val="auto"/>
                <w:lang w:val="zh-TW" w:eastAsia="zh-TW" w:bidi="zh-TW"/>
              </w:rPr>
              <w:t>1</w:t>
            </w:r>
            <w:r>
              <w:rPr>
                <w:rFonts w:ascii="宋体" w:hAnsi="宋体" w:eastAsia="宋体" w:cs="宋体"/>
                <w:color w:val="auto"/>
                <w:sz w:val="20"/>
                <w:szCs w:val="20"/>
                <w:lang w:val="zh-TW" w:eastAsia="zh-TW" w:bidi="zh-TW"/>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38" w:hRule="exact"/>
        </w:trPr>
        <w:tc>
          <w:tcPr>
            <w:tcW w:w="480"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2</w:t>
            </w:r>
          </w:p>
        </w:tc>
        <w:tc>
          <w:tcPr>
            <w:tcW w:w="2755" w:type="dxa"/>
            <w:shd w:val="clear" w:color="auto" w:fill="FFFFFF"/>
            <w:noWrap w:val="0"/>
            <w:vAlign w:val="center"/>
          </w:tcPr>
          <w:p>
            <w:pPr>
              <w:spacing w:line="360"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化妆品标识未标注化妆</w:t>
            </w:r>
            <w:r>
              <w:rPr>
                <w:rFonts w:hint="eastAsia" w:ascii="宋体" w:hAnsi="宋体" w:eastAsia="宋体" w:cs="宋体"/>
                <w:color w:val="auto"/>
                <w:sz w:val="20"/>
                <w:szCs w:val="20"/>
                <w:lang w:val="zh-TW" w:eastAsia="zh-CN" w:bidi="zh-TW"/>
              </w:rPr>
              <w:t>品名</w:t>
            </w:r>
            <w:r>
              <w:rPr>
                <w:rFonts w:ascii="宋体" w:hAnsi="宋体" w:eastAsia="宋体" w:cs="宋体"/>
                <w:color w:val="auto"/>
                <w:sz w:val="20"/>
                <w:szCs w:val="20"/>
                <w:lang w:val="zh-TW" w:eastAsia="zh-TW" w:bidi="zh-TW"/>
              </w:rPr>
              <w:t>称或 者标注名称不符合规定要求</w:t>
            </w:r>
          </w:p>
        </w:tc>
        <w:tc>
          <w:tcPr>
            <w:tcW w:w="2100" w:type="dxa"/>
            <w:shd w:val="clear" w:color="auto" w:fill="FFFFFF"/>
            <w:noWrap w:val="0"/>
            <w:vAlign w:val="center"/>
          </w:tcPr>
          <w:p>
            <w:pPr>
              <w:spacing w:line="355"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185" w:type="dxa"/>
            <w:shd w:val="clear" w:color="auto" w:fill="FFFFFF"/>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《化妆品标识管理规定》第六条化妆品标识应当标注化妆品名称。</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化妆品名称一般由商标名、通用名和属名三部分组成，并符合下列要求：（-）商标名应当符合国家有关法律、行政法规的规定;</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（二）通用名应当准确、科学，不得使用明示或者暗示医疗作用的文字，但可以使用表明主要原料、主要功效成分或 者产品功能的文字；</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（三）属性名应当表明产品的客观形态，不得使用抽象名称</w:t>
            </w:r>
            <w:r>
              <w:rPr>
                <w:rFonts w:hint="eastAsia"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约定俗成的产品名称，可省略其属性名。</w:t>
            </w:r>
          </w:p>
          <w:p>
            <w:pPr>
              <w:spacing w:line="361"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国家标准、行业标准对产品名称有规定的，应当标注标准规定的名称。</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174" w:tblpY="28"/>
        <w:tblOverlap w:val="never"/>
        <w:tblW w:w="9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90"/>
        <w:gridCol w:w="2760"/>
        <w:gridCol w:w="2085"/>
        <w:gridCol w:w="4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49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760"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08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15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49" w:hRule="exact"/>
        </w:trPr>
        <w:tc>
          <w:tcPr>
            <w:tcW w:w="490" w:type="dxa"/>
            <w:shd w:val="clear" w:color="auto" w:fill="FFFFFF"/>
            <w:noWrap w:val="0"/>
            <w:vAlign w:val="top"/>
          </w:tcPr>
          <w:p>
            <w:pPr>
              <w:rPr>
                <w:color w:val="auto"/>
                <w:sz w:val="10"/>
                <w:szCs w:val="10"/>
              </w:rPr>
            </w:pPr>
          </w:p>
        </w:tc>
        <w:tc>
          <w:tcPr>
            <w:tcW w:w="2760" w:type="dxa"/>
            <w:shd w:val="clear" w:color="auto" w:fill="FFFFFF"/>
            <w:noWrap w:val="0"/>
            <w:vAlign w:val="top"/>
          </w:tcPr>
          <w:p>
            <w:pPr>
              <w:rPr>
                <w:color w:val="auto"/>
                <w:sz w:val="10"/>
                <w:szCs w:val="10"/>
              </w:rPr>
            </w:pPr>
          </w:p>
        </w:tc>
        <w:tc>
          <w:tcPr>
            <w:tcW w:w="2085" w:type="dxa"/>
            <w:shd w:val="clear" w:color="auto" w:fill="FFFFFF"/>
            <w:noWrap w:val="0"/>
            <w:vAlign w:val="top"/>
          </w:tcPr>
          <w:p>
            <w:pPr>
              <w:rPr>
                <w:color w:val="auto"/>
                <w:sz w:val="10"/>
                <w:szCs w:val="10"/>
              </w:rPr>
            </w:pPr>
          </w:p>
        </w:tc>
        <w:tc>
          <w:tcPr>
            <w:tcW w:w="415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第七条化妆品标注"奇特名称”的，应当在相邻位置，以相同字号，按照本规定第六条规定标注产品名称</w:t>
            </w:r>
            <w:r>
              <w:rPr>
                <w:rFonts w:hint="eastAsia"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并不得违反国家相关规定和社会公序良俗。</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同一名称的化妆品，适用不同人群，不同色系、香型的，应当左名称中或明显位置予以标明。</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《化妆品标识管理规定》第二十四条 违反本规定第六条、第七条规定，化妆品标识未标注化妆品名称或者标注名称不符合规定要求的，责令限期改正</w:t>
            </w:r>
            <w:r>
              <w:rPr>
                <w:rFonts w:hint="eastAsia"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逾期未改正的，处以</w:t>
            </w:r>
            <w:r>
              <w:rPr>
                <w:color w:val="auto"/>
                <w:lang w:val="zh-TW" w:eastAsia="zh-TW" w:bidi="zh-TW"/>
              </w:rPr>
              <w:t>1</w:t>
            </w:r>
            <w:r>
              <w:rPr>
                <w:rFonts w:ascii="宋体" w:hAnsi="宋体" w:eastAsia="宋体" w:cs="宋体"/>
                <w:color w:val="auto"/>
                <w:sz w:val="20"/>
                <w:szCs w:val="20"/>
                <w:lang w:val="zh-TW" w:eastAsia="zh-TW" w:bidi="zh-TW"/>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98" w:hRule="exact"/>
        </w:trPr>
        <w:tc>
          <w:tcPr>
            <w:tcW w:w="490" w:type="dxa"/>
            <w:shd w:val="clear" w:color="auto" w:fill="FFFFFF"/>
            <w:noWrap w:val="0"/>
            <w:vAlign w:val="center"/>
          </w:tcPr>
          <w:p>
            <w:pPr>
              <w:ind w:firstLine="140"/>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3</w:t>
            </w:r>
          </w:p>
        </w:tc>
        <w:tc>
          <w:tcPr>
            <w:tcW w:w="2760" w:type="dxa"/>
            <w:shd w:val="clear" w:color="auto" w:fill="FFFFFF"/>
            <w:noWrap w:val="0"/>
            <w:vAlign w:val="center"/>
          </w:tcPr>
          <w:p>
            <w:pPr>
              <w:spacing w:line="358"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化妆品标识未依法标注化妆品实际生产加工地或者生产者名称、地址</w:t>
            </w:r>
          </w:p>
        </w:tc>
        <w:tc>
          <w:tcPr>
            <w:tcW w:w="2085" w:type="dxa"/>
            <w:shd w:val="clear" w:color="auto" w:fill="FFFFFF"/>
            <w:noWrap w:val="0"/>
            <w:vAlign w:val="center"/>
          </w:tcPr>
          <w:p>
            <w:pPr>
              <w:spacing w:line="355"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4155" w:type="dxa"/>
            <w:shd w:val="clear" w:color="auto" w:fill="FFFFFF"/>
            <w:noWrap w:val="0"/>
            <w:vAlign w:val="bottom"/>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《化妆品标识管理规定》第八条化妆品标识应当标注化妆品的实际生产加工地。</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化妆品实际生产加工地应当按照行政区划至少标注到省级地域。</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第九条化妆品标识应当标注生产者的名称和地址。生产者名称和地址应当是依法登记注册、能承担产品质量责任的 生产者的名称、地址。</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有下列情形之一的，生产者的名称、地址按照下列规定予以标注：</w:t>
            </w:r>
          </w:p>
          <w:p>
            <w:pPr>
              <w:keepNext w:val="0"/>
              <w:keepLines w:val="0"/>
              <w:pageBreakBefore w:val="0"/>
              <w:widowControl w:val="0"/>
              <w:numPr>
                <w:ilvl w:val="0"/>
                <w:numId w:val="5"/>
              </w:numPr>
              <w:tabs>
                <w:tab w:val="left" w:pos="624"/>
              </w:tabs>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依法独立承担法律责任的集团公司或者其子公司，应当标注各自的名称 和地址。</w:t>
            </w:r>
          </w:p>
          <w:p>
            <w:pPr>
              <w:keepNext w:val="0"/>
              <w:keepLines w:val="0"/>
              <w:pageBreakBefore w:val="0"/>
              <w:widowControl w:val="0"/>
              <w:numPr>
                <w:ilvl w:val="0"/>
                <w:numId w:val="0"/>
              </w:numPr>
              <w:tabs>
                <w:tab w:val="left" w:pos="624"/>
              </w:tabs>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（二）依法不能独立承担法律责任的集 团公司的分公司或者集团公司的生产基地，可以标注集团公司和分公司（生产 基地）的名称、地址，也可以仅标注集 团公司的名称、地址。</w:t>
            </w:r>
          </w:p>
          <w:p>
            <w:pPr>
              <w:keepNext w:val="0"/>
              <w:keepLines w:val="0"/>
              <w:pageBreakBefore w:val="0"/>
              <w:widowControl w:val="0"/>
              <w:tabs>
                <w:tab w:val="left" w:pos="624"/>
              </w:tabs>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（三）</w:t>
            </w:r>
            <w:r>
              <w:rPr>
                <w:rFonts w:ascii="宋体" w:hAnsi="宋体" w:eastAsia="宋体" w:cs="宋体"/>
                <w:color w:val="auto"/>
                <w:sz w:val="20"/>
                <w:szCs w:val="20"/>
                <w:lang w:val="zh-TW" w:eastAsia="zh-TW" w:bidi="zh-TW"/>
              </w:rPr>
              <w:tab/>
            </w:r>
            <w:r>
              <w:rPr>
                <w:rFonts w:ascii="宋体" w:hAnsi="宋体" w:eastAsia="宋体" w:cs="宋体"/>
                <w:color w:val="auto"/>
                <w:sz w:val="20"/>
                <w:szCs w:val="20"/>
                <w:lang w:val="zh-TW" w:eastAsia="zh-TW" w:bidi="zh-TW"/>
              </w:rPr>
              <w:t>实施委托生产加工的化妆品，委托企业具有其委托加工的化妆品生产许可证的,应当标注委托企业的名称、地址和被委托企业的名称,或者仅标注委托企业的名称和地址;委托企业不具有其委托加工化妆品生产许可证的，应当标注委托企业的名称、地址和被委托企业的名称。</w:t>
            </w:r>
          </w:p>
          <w:p>
            <w:pPr>
              <w:keepNext w:val="0"/>
              <w:keepLines w:val="0"/>
              <w:pageBreakBefore w:val="0"/>
              <w:widowControl w:val="0"/>
              <w:tabs>
                <w:tab w:val="left" w:pos="619"/>
              </w:tabs>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（四）</w:t>
            </w:r>
            <w:r>
              <w:rPr>
                <w:rFonts w:ascii="宋体" w:hAnsi="宋体" w:eastAsia="宋体" w:cs="宋体"/>
                <w:color w:val="auto"/>
                <w:sz w:val="20"/>
                <w:szCs w:val="20"/>
                <w:lang w:val="zh-TW" w:eastAsia="zh-TW" w:bidi="zh-TW"/>
              </w:rPr>
              <w:tab/>
            </w:r>
            <w:r>
              <w:rPr>
                <w:rFonts w:ascii="宋体" w:hAnsi="宋体" w:eastAsia="宋体" w:cs="宋体"/>
                <w:color w:val="auto"/>
                <w:sz w:val="20"/>
                <w:szCs w:val="20"/>
                <w:lang w:val="zh-TW" w:eastAsia="zh-TW" w:bidi="zh-TW"/>
              </w:rPr>
              <w:t>分装化妆品应当分别标注实际生产加工企业的名称和分装者的名称及地 址，并注明分装字样。</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《化妆品标识管理规定》第二十五条, 违反本规定第八条、第九条，化妆品标识未依法标注化妆品实际生产加工地或者生产者名称、地址的，责令限期改正逾期未改正的，处以</w:t>
            </w:r>
            <w:r>
              <w:rPr>
                <w:color w:val="auto"/>
                <w:lang w:val="zh-TW" w:eastAsia="zh-TW" w:bidi="zh-TW"/>
              </w:rPr>
              <w:t>1</w:t>
            </w:r>
            <w:r>
              <w:rPr>
                <w:rFonts w:ascii="宋体" w:hAnsi="宋体" w:eastAsia="宋体" w:cs="宋体"/>
                <w:color w:val="auto"/>
                <w:sz w:val="20"/>
                <w:szCs w:val="20"/>
                <w:lang w:val="zh-TW" w:eastAsia="zh-TW" w:bidi="zh-TW"/>
              </w:rPr>
              <w:t>万元以下罚款。</w:t>
            </w:r>
          </w:p>
        </w:tc>
      </w:tr>
    </w:tbl>
    <w:p>
      <w:pPr>
        <w:spacing w:line="1" w:lineRule="exact"/>
        <w:rPr>
          <w:sz w:val="2"/>
          <w:szCs w:val="2"/>
        </w:rPr>
      </w:pPr>
      <w:r>
        <w:br w:type="page"/>
      </w:r>
    </w:p>
    <w:tbl>
      <w:tblPr>
        <w:tblStyle w:val="4"/>
        <w:tblpPr w:leftFromText="180" w:rightFromText="180" w:vertAnchor="text" w:horzAnchor="page" w:tblpX="1219" w:tblpY="68"/>
        <w:tblOverlap w:val="never"/>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65"/>
        <w:gridCol w:w="2656"/>
        <w:gridCol w:w="1619"/>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3" w:hRule="exact"/>
        </w:trPr>
        <w:tc>
          <w:tcPr>
            <w:tcW w:w="56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656"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1619"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474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63" w:hRule="exact"/>
        </w:trPr>
        <w:tc>
          <w:tcPr>
            <w:tcW w:w="565"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4</w:t>
            </w:r>
          </w:p>
        </w:tc>
        <w:tc>
          <w:tcPr>
            <w:tcW w:w="2656"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特种设备安装、改造、修理竣 工验收后未及时将相关技术 资料和文件移交特种设备使 用单位</w:t>
            </w:r>
          </w:p>
        </w:tc>
        <w:tc>
          <w:tcPr>
            <w:tcW w:w="1619"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 及时改正的</w:t>
            </w:r>
          </w:p>
        </w:tc>
        <w:tc>
          <w:tcPr>
            <w:tcW w:w="47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特种设备安全法》第二十四条特种设备安装、改造、修理竣工后，安装、改造、修理的施工单位应当在验收后三十日内将相关技术资料和文件移交特种设备使用单位。特种设备使用单位应当将其存入该特种擾备的安全技术档案。</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特种设备安全法》第七十八条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25" w:hRule="exact"/>
        </w:trPr>
        <w:tc>
          <w:tcPr>
            <w:tcW w:w="565"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5</w:t>
            </w:r>
          </w:p>
        </w:tc>
        <w:tc>
          <w:tcPr>
            <w:tcW w:w="2656" w:type="dxa"/>
            <w:shd w:val="clear" w:color="auto" w:fill="FFFFFF"/>
            <w:noWrap w:val="0"/>
            <w:vAlign w:val="center"/>
          </w:tcPr>
          <w:p>
            <w:pPr>
              <w:spacing w:line="360"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特种设备使用单位未及时办 理使用登记</w:t>
            </w:r>
          </w:p>
        </w:tc>
        <w:tc>
          <w:tcPr>
            <w:tcW w:w="1619" w:type="dxa"/>
            <w:shd w:val="clear" w:color="auto" w:fill="FFFFFF"/>
            <w:noWrap w:val="0"/>
            <w:vAlign w:val="center"/>
          </w:tcPr>
          <w:p>
            <w:pPr>
              <w:spacing w:line="358"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 及时改正的</w:t>
            </w:r>
          </w:p>
        </w:tc>
        <w:tc>
          <w:tcPr>
            <w:tcW w:w="47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特种设备安全法》第三十三条特种设备使用单位应当在特种设备投入使用刖或者投入使用后二十日内，向负责特种设备安全监督管理的部门办理使用登记，取得使用登记证书。登记标志应当置于该特种设备的显著位置。</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《中华人民共和国特种设备安全法》第八十三条违反本法规定,特种设备使用单位有下列行为之一的,责令限期改正</w:t>
            </w:r>
            <w:r>
              <w:rPr>
                <w:rFonts w:hint="eastAsia"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逾期未改正的，责令停止使用有关特种</w:t>
            </w:r>
            <w:r>
              <w:rPr>
                <w:rFonts w:ascii="宋体" w:hAnsi="宋体" w:eastAsia="宋体" w:cs="宋体"/>
                <w:sz w:val="20"/>
                <w:szCs w:val="20"/>
                <w:lang w:val="zh-TW" w:eastAsia="zh-TW" w:bidi="zh-TW"/>
              </w:rPr>
              <w:t>设备，处一万元以上十万元以下罚款：</w:t>
            </w:r>
            <w:r>
              <w:rPr>
                <w:rFonts w:hint="eastAsia" w:ascii="宋体" w:hAnsi="宋体" w:eastAsia="宋体" w:cs="宋体"/>
                <w:sz w:val="20"/>
                <w:szCs w:val="20"/>
                <w:lang w:val="zh-TW" w:eastAsia="zh-CN" w:bidi="zh-TW"/>
              </w:rPr>
              <w:t>（一）</w:t>
            </w:r>
            <w:r>
              <w:rPr>
                <w:rFonts w:ascii="宋体" w:hAnsi="宋体" w:eastAsia="宋体" w:cs="宋体"/>
                <w:sz w:val="20"/>
                <w:szCs w:val="20"/>
                <w:lang w:val="zh-TW" w:eastAsia="zh-TW" w:bidi="zh-TW"/>
              </w:rPr>
              <w:t>使用特种设备未按照规定办理使 用登记的；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0" w:hRule="exact"/>
        </w:trPr>
        <w:tc>
          <w:tcPr>
            <w:tcW w:w="565"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5</w:t>
            </w:r>
            <w:r>
              <w:rPr>
                <w:rFonts w:hint="eastAsia"/>
                <w:color w:val="auto"/>
                <w:lang w:val="en-US" w:eastAsia="zh-CN" w:bidi="zh-TW"/>
              </w:rPr>
              <w:t>6</w:t>
            </w:r>
          </w:p>
        </w:tc>
        <w:tc>
          <w:tcPr>
            <w:tcW w:w="2656" w:type="dxa"/>
            <w:shd w:val="clear" w:color="auto" w:fill="FFFFFF"/>
            <w:noWrap w:val="0"/>
            <w:vAlign w:val="center"/>
          </w:tcPr>
          <w:p>
            <w:pPr>
              <w:spacing w:line="365" w:lineRule="exact"/>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企业名称发生变化</w:t>
            </w:r>
            <w:r>
              <w:rPr>
                <w:rFonts w:hint="eastAsia" w:ascii="宋体" w:hAnsi="宋体" w:eastAsia="宋体" w:cs="宋体"/>
                <w:color w:val="auto"/>
                <w:sz w:val="20"/>
                <w:szCs w:val="20"/>
                <w:lang w:val="zh-TW" w:eastAsia="zh-CN" w:bidi="zh-TW"/>
              </w:rPr>
              <w:t>生</w:t>
            </w:r>
            <w:r>
              <w:rPr>
                <w:rFonts w:ascii="宋体" w:hAnsi="宋体" w:eastAsia="宋体" w:cs="宋体"/>
                <w:color w:val="auto"/>
                <w:sz w:val="20"/>
                <w:szCs w:val="20"/>
                <w:lang w:val="zh-TW" w:eastAsia="zh-TW" w:bidi="zh-TW"/>
              </w:rPr>
              <w:t>产许可 证未及时变更的</w:t>
            </w:r>
          </w:p>
        </w:tc>
        <w:tc>
          <w:tcPr>
            <w:tcW w:w="1619"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责令限期改正后 及时改正。</w:t>
            </w:r>
          </w:p>
        </w:tc>
        <w:tc>
          <w:tcPr>
            <w:tcW w:w="4740"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《中华人民共和国工业产品生产许可证 管理条例》第二十九条企业名称发生变 化的企业应当及时向所在地的工业产品 生产许可证主管部门提出申请，办理变 更手续。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5" w:hRule="exact"/>
        </w:trPr>
        <w:tc>
          <w:tcPr>
            <w:tcW w:w="565" w:type="dxa"/>
            <w:shd w:val="clear" w:color="auto" w:fill="FFFFFF"/>
            <w:noWrap w:val="0"/>
            <w:vAlign w:val="center"/>
          </w:tcPr>
          <w:p>
            <w:pPr>
              <w:rPr>
                <w:rFonts w:hint="eastAsia" w:ascii="宋体" w:hAnsi="宋体" w:eastAsia="宋体" w:cs="宋体"/>
                <w:color w:val="auto"/>
                <w:kern w:val="2"/>
                <w:sz w:val="20"/>
                <w:szCs w:val="20"/>
                <w:lang w:val="zh-TW" w:eastAsia="zh-CN" w:bidi="zh-TW"/>
              </w:rPr>
            </w:pPr>
            <w:r>
              <w:rPr>
                <w:rFonts w:hint="eastAsia" w:eastAsia="宋体"/>
                <w:color w:val="auto"/>
                <w:sz w:val="20"/>
                <w:szCs w:val="20"/>
                <w:lang w:val="zh-TW" w:eastAsia="zh-CN" w:bidi="zh-TW"/>
              </w:rPr>
              <w:t>5</w:t>
            </w:r>
            <w:r>
              <w:rPr>
                <w:rFonts w:hint="eastAsia"/>
                <w:color w:val="auto"/>
                <w:sz w:val="20"/>
                <w:szCs w:val="20"/>
                <w:lang w:val="en-US" w:eastAsia="zh-CN" w:bidi="zh-TW"/>
              </w:rPr>
              <w:t>7</w:t>
            </w:r>
          </w:p>
        </w:tc>
        <w:tc>
          <w:tcPr>
            <w:tcW w:w="2656" w:type="dxa"/>
            <w:shd w:val="clear" w:color="auto" w:fill="FFFFFF"/>
            <w:noWrap w:val="0"/>
            <w:vAlign w:val="center"/>
          </w:tcPr>
          <w:p>
            <w:pPr>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使用非法定计量单位</w:t>
            </w:r>
          </w:p>
        </w:tc>
        <w:tc>
          <w:tcPr>
            <w:tcW w:w="1619" w:type="dxa"/>
            <w:shd w:val="clear" w:color="auto" w:fill="FFFFFF"/>
            <w:noWrap w:val="0"/>
            <w:vAlign w:val="center"/>
          </w:tcPr>
          <w:p>
            <w:pPr>
              <w:spacing w:after="120"/>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及时纠正，没有</w:t>
            </w:r>
          </w:p>
          <w:p>
            <w:pPr>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造成危害后果的</w:t>
            </w:r>
          </w:p>
        </w:tc>
        <w:tc>
          <w:tcPr>
            <w:tcW w:w="4740"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《中华人民共和国计量法实施细则》第四十条违反本细则第二条规定，使用非法定计量单位的，责令其改正；属出版物的，责令其停止销售，可并处</w:t>
            </w:r>
            <w:r>
              <w:rPr>
                <w:color w:val="auto"/>
                <w:lang w:val="zh-TW" w:eastAsia="zh-TW" w:bidi="zh-TW"/>
              </w:rPr>
              <w:t>1000</w:t>
            </w:r>
            <w:r>
              <w:rPr>
                <w:rFonts w:ascii="宋体" w:hAnsi="宋体" w:eastAsia="宋体" w:cs="宋体"/>
                <w:color w:val="auto"/>
                <w:sz w:val="20"/>
                <w:szCs w:val="20"/>
                <w:lang w:val="zh-TW" w:eastAsia="zh-TW" w:bidi="zh-TW"/>
              </w:rPr>
              <w:t>元以下的罚款。</w:t>
            </w:r>
          </w:p>
        </w:tc>
      </w:tr>
    </w:tbl>
    <w:p>
      <w:pPr>
        <w:bidi w:val="0"/>
        <w:jc w:val="left"/>
        <w:rPr>
          <w:lang w:eastAsia="zh-CN"/>
        </w:rPr>
      </w:pPr>
      <w:r>
        <w:rPr>
          <w:lang w:eastAsia="zh-CN"/>
        </w:rPr>
        <w:br w:type="page"/>
      </w:r>
    </w:p>
    <w:tbl>
      <w:tblPr>
        <w:tblStyle w:val="4"/>
        <w:tblpPr w:leftFromText="180" w:rightFromText="180" w:vertAnchor="text" w:horzAnchor="page" w:tblpX="1249" w:tblpY="122"/>
        <w:tblW w:w="9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09"/>
        <w:gridCol w:w="2486"/>
        <w:gridCol w:w="2220"/>
        <w:gridCol w:w="3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73" w:hRule="exact"/>
        </w:trPr>
        <w:tc>
          <w:tcPr>
            <w:tcW w:w="509"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486" w:type="dxa"/>
            <w:shd w:val="clear" w:color="auto" w:fill="FFFFFF"/>
            <w:noWrap w:val="0"/>
            <w:vAlign w:val="center"/>
          </w:tcPr>
          <w:p>
            <w:pPr>
              <w:ind w:firstLine="46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22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3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8" w:hRule="exact"/>
        </w:trPr>
        <w:tc>
          <w:tcPr>
            <w:tcW w:w="509" w:type="dxa"/>
            <w:shd w:val="clear" w:color="auto" w:fill="FFFFFF"/>
            <w:noWrap w:val="0"/>
            <w:vAlign w:val="center"/>
          </w:tcPr>
          <w:p>
            <w:pPr>
              <w:ind w:firstLine="140"/>
              <w:rPr>
                <w:rFonts w:hint="default" w:ascii="宋体" w:hAnsi="宋体" w:eastAsia="宋体" w:cs="宋体"/>
                <w:color w:val="auto"/>
                <w:sz w:val="20"/>
                <w:szCs w:val="20"/>
                <w:lang w:val="en-US" w:eastAsia="zh-CN" w:bidi="zh-TW"/>
              </w:rPr>
            </w:pPr>
            <w:r>
              <w:rPr>
                <w:rFonts w:hint="eastAsia"/>
                <w:color w:val="auto"/>
                <w:sz w:val="20"/>
                <w:szCs w:val="20"/>
                <w:lang w:val="en-US" w:eastAsia="zh-CN" w:bidi="zh-TW"/>
              </w:rPr>
              <w:t>58</w:t>
            </w:r>
          </w:p>
        </w:tc>
        <w:tc>
          <w:tcPr>
            <w:tcW w:w="2486" w:type="dxa"/>
            <w:shd w:val="clear" w:color="auto" w:fill="FFFFFF"/>
            <w:noWrap w:val="0"/>
            <w:vAlign w:val="center"/>
          </w:tcPr>
          <w:p>
            <w:pPr>
              <w:spacing w:line="360"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生产、销售定量包装商品未正确、清晰地标注净含量</w:t>
            </w:r>
          </w:p>
        </w:tc>
        <w:tc>
          <w:tcPr>
            <w:tcW w:w="2220" w:type="dxa"/>
            <w:shd w:val="clear" w:color="auto" w:fill="FFFFFF"/>
            <w:noWrap w:val="0"/>
            <w:vAlign w:val="center"/>
          </w:tcPr>
          <w:p>
            <w:pPr>
              <w:spacing w:line="350"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93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《定量包装商品计量监督管理办法》第五条生产者、销售者应当在其商品包装的显著位置正确、清晰地标注定量包装 商品的净含量。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《定量包装商品计量监督管理办法》第十七条生产、销售定量包装商品违反本办法第五条、第六条、第七条规定，未正确、清晰地标注净含量的，责令改正未标注净含量的，限期改正，逾期不改的，可处</w:t>
            </w:r>
            <w:r>
              <w:rPr>
                <w:color w:val="auto"/>
                <w:lang w:val="zh-TW" w:eastAsia="zh-TW" w:bidi="zh-TW"/>
              </w:rPr>
              <w:t>1000</w:t>
            </w:r>
            <w:r>
              <w:rPr>
                <w:rFonts w:ascii="宋体" w:hAnsi="宋体" w:eastAsia="宋体" w:cs="宋体"/>
                <w:color w:val="auto"/>
                <w:sz w:val="20"/>
                <w:szCs w:val="20"/>
                <w:lang w:val="zh-TW" w:eastAsia="zh-TW" w:bidi="zh-TW"/>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59" w:hRule="exact"/>
        </w:trPr>
        <w:tc>
          <w:tcPr>
            <w:tcW w:w="509" w:type="dxa"/>
            <w:shd w:val="clear" w:color="auto" w:fill="FFFFFF"/>
            <w:noWrap w:val="0"/>
            <w:vAlign w:val="center"/>
          </w:tcPr>
          <w:p>
            <w:pPr>
              <w:ind w:firstLine="140"/>
              <w:rPr>
                <w:rFonts w:hint="default" w:ascii="宋体" w:hAnsi="宋体" w:eastAsia="宋体" w:cs="宋体"/>
                <w:color w:val="auto"/>
                <w:sz w:val="20"/>
                <w:szCs w:val="20"/>
                <w:lang w:val="en-US" w:eastAsia="zh-CN" w:bidi="zh-TW"/>
              </w:rPr>
            </w:pPr>
            <w:r>
              <w:rPr>
                <w:rFonts w:hint="eastAsia"/>
                <w:color w:val="auto"/>
                <w:sz w:val="20"/>
                <w:szCs w:val="20"/>
                <w:lang w:val="en-US" w:eastAsia="zh-CN" w:bidi="zh-TW"/>
              </w:rPr>
              <w:t>59</w:t>
            </w:r>
          </w:p>
        </w:tc>
        <w:tc>
          <w:tcPr>
            <w:tcW w:w="2486" w:type="dxa"/>
            <w:shd w:val="clear" w:color="auto" w:fill="FFFFFF"/>
            <w:noWrap w:val="0"/>
            <w:vAlign w:val="center"/>
          </w:tcPr>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定量包装商品净含量标注字 符最小高度不符合规定</w:t>
            </w:r>
          </w:p>
        </w:tc>
        <w:tc>
          <w:tcPr>
            <w:tcW w:w="2220" w:type="dxa"/>
            <w:shd w:val="clear" w:color="auto" w:fill="FFFFFF"/>
            <w:noWrap w:val="0"/>
            <w:vAlign w:val="center"/>
          </w:tcPr>
          <w:p>
            <w:pPr>
              <w:spacing w:line="350"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93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《定量包装商品计量监督管理办法》第六条定量包装商品净含量标注字符的最小高度应当符合本办法附表</w:t>
            </w:r>
            <w:r>
              <w:rPr>
                <w:color w:val="auto"/>
                <w:lang w:val="zh-TW" w:eastAsia="zh-TW" w:bidi="zh-TW"/>
              </w:rPr>
              <w:t>2</w:t>
            </w:r>
            <w:r>
              <w:rPr>
                <w:rFonts w:ascii="宋体" w:hAnsi="宋体" w:eastAsia="宋体" w:cs="宋体"/>
                <w:color w:val="auto"/>
                <w:sz w:val="20"/>
                <w:szCs w:val="20"/>
                <w:lang w:val="zh-TW" w:eastAsia="zh-TW" w:bidi="zh-TW"/>
              </w:rPr>
              <w:t>的规定。</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《定量包装商品计量监督管理办法》第十七条生产、销售定量包装商品违反本办法第五条、第六条、第七条规定，未正确、清晰地标注净含量的，责令改正；未标注净含量的，限期改正，逾期不改的，可处</w:t>
            </w:r>
            <w:r>
              <w:rPr>
                <w:color w:val="auto"/>
                <w:lang w:val="zh-TW" w:eastAsia="zh-TW" w:bidi="zh-TW"/>
              </w:rPr>
              <w:t>1000</w:t>
            </w:r>
            <w:r>
              <w:rPr>
                <w:rFonts w:ascii="宋体" w:hAnsi="宋体" w:eastAsia="宋体" w:cs="宋体"/>
                <w:color w:val="auto"/>
                <w:sz w:val="20"/>
                <w:szCs w:val="20"/>
                <w:lang w:val="zh-TW" w:eastAsia="zh-TW" w:bidi="zh-TW"/>
              </w:rPr>
              <w:t>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67" w:hRule="exact"/>
        </w:trPr>
        <w:tc>
          <w:tcPr>
            <w:tcW w:w="509" w:type="dxa"/>
            <w:shd w:val="clear" w:color="auto" w:fill="FFFFFF"/>
            <w:noWrap w:val="0"/>
            <w:vAlign w:val="center"/>
          </w:tcPr>
          <w:p>
            <w:pPr>
              <w:ind w:firstLine="140"/>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6</w:t>
            </w:r>
            <w:r>
              <w:rPr>
                <w:rFonts w:hint="eastAsia"/>
                <w:color w:val="auto"/>
                <w:sz w:val="20"/>
                <w:szCs w:val="20"/>
                <w:lang w:val="en-US" w:eastAsia="zh-CN" w:bidi="zh-TW"/>
              </w:rPr>
              <w:t>0</w:t>
            </w:r>
          </w:p>
        </w:tc>
        <w:tc>
          <w:tcPr>
            <w:tcW w:w="2486"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同一包装内含有多件同种或 卢同种定量包装商品未依法 标注</w:t>
            </w:r>
          </w:p>
        </w:tc>
        <w:tc>
          <w:tcPr>
            <w:tcW w:w="2220" w:type="dxa"/>
            <w:shd w:val="clear" w:color="auto" w:fill="FFFFFF"/>
            <w:noWrap w:val="0"/>
            <w:vAlign w:val="center"/>
          </w:tcPr>
          <w:p>
            <w:pPr>
              <w:spacing w:line="350" w:lineRule="exact"/>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93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《定量包装商品计量监督管理办法》第七条同一包装内含有多件同种定量包装商品的，应当标注单件定量包装商品的净含量和总件数，或者标注总净含量。 应当标注各种不同种定量包装商品的单件净含量和各种不同种定量包装商品的 件数，或者分别标注各种不同种定量包装商品的总净含量。</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《定量包装商品计量监督管理办法》第十七条生产、销售定量包装商品违反本办法第五条、第六条、第七条规定,末正确、清晰地标注净含量的，责令改正； 末标注净含量的,限期改正,逾期不改的，可处</w:t>
            </w:r>
            <w:r>
              <w:rPr>
                <w:color w:val="auto"/>
                <w:lang w:val="zh-TW" w:eastAsia="zh-TW" w:bidi="zh-TW"/>
              </w:rPr>
              <w:t>1000</w:t>
            </w:r>
            <w:r>
              <w:rPr>
                <w:rFonts w:ascii="宋体" w:hAnsi="宋体" w:eastAsia="宋体" w:cs="宋体"/>
                <w:color w:val="auto"/>
                <w:sz w:val="20"/>
                <w:szCs w:val="20"/>
                <w:lang w:val="zh-TW" w:eastAsia="zh-TW" w:bidi="zh-TW"/>
              </w:rPr>
              <w:t>元以下罚款。</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292" w:tblpY="215"/>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0"/>
        <w:gridCol w:w="2520"/>
        <w:gridCol w:w="2205"/>
        <w:gridCol w:w="3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54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520" w:type="dxa"/>
            <w:shd w:val="clear" w:color="auto" w:fill="FFFFFF"/>
            <w:noWrap w:val="0"/>
            <w:vAlign w:val="center"/>
          </w:tcPr>
          <w:p>
            <w:pPr>
              <w:ind w:firstLine="46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205"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885"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8" w:hRule="exact"/>
        </w:trPr>
        <w:tc>
          <w:tcPr>
            <w:tcW w:w="540"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6</w:t>
            </w:r>
            <w:r>
              <w:rPr>
                <w:rFonts w:hint="eastAsia"/>
                <w:color w:val="auto"/>
                <w:sz w:val="20"/>
                <w:szCs w:val="20"/>
                <w:lang w:val="en-US" w:eastAsia="zh-CN" w:bidi="zh-TW"/>
              </w:rPr>
              <w:t>1</w:t>
            </w:r>
          </w:p>
        </w:tc>
        <w:tc>
          <w:tcPr>
            <w:tcW w:w="2520"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集市主办者未按规定对集市 使用的属于强制检定的计量 器具登记造册和备案，并配合 市场监督管理部门及其指定 的法定计量检定机构做好强 制检定工作</w:t>
            </w:r>
          </w:p>
        </w:tc>
        <w:tc>
          <w:tcPr>
            <w:tcW w:w="2205" w:type="dxa"/>
            <w:shd w:val="clear" w:color="auto" w:fill="FFFFFF"/>
            <w:noWrap w:val="0"/>
            <w:vAlign w:val="center"/>
          </w:tcPr>
          <w:p>
            <w:pPr>
              <w:spacing w:line="35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责令限期改正后及时改正的</w:t>
            </w:r>
          </w:p>
        </w:tc>
        <w:tc>
          <w:tcPr>
            <w:tcW w:w="38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《集贸市场计量监督管理办法》第五条集市主办者应当做到：（四）对集市使用的属于强制检定的计量器具登记造 册，向当地质量技术监督部门备案，并配合质量技术监督部门及其指定的法定计量检定机构做好强制检定工作。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《集贸市场计量监督管理办法》第十一条集市主办者违反本办法第五条第（四: 项规定的，责令改正，逾期不改的，处以</w:t>
            </w:r>
            <w:r>
              <w:rPr>
                <w:color w:val="auto"/>
                <w:lang w:val="zh-TW" w:eastAsia="zh-TW" w:bidi="zh-TW"/>
              </w:rPr>
              <w:t>1000</w:t>
            </w:r>
            <w:r>
              <w:rPr>
                <w:rFonts w:ascii="宋体" w:hAnsi="宋体" w:eastAsia="宋体" w:cs="宋体"/>
                <w:color w:val="auto"/>
                <w:sz w:val="20"/>
                <w:szCs w:val="20"/>
                <w:lang w:val="zh-TW" w:eastAsia="zh-TW" w:bidi="zh-TW"/>
              </w:rPr>
              <w:t>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63" w:hRule="exact"/>
        </w:trPr>
        <w:tc>
          <w:tcPr>
            <w:tcW w:w="540" w:type="dxa"/>
            <w:shd w:val="clear" w:color="auto" w:fill="FFFFFF"/>
            <w:noWrap w:val="0"/>
            <w:vAlign w:val="center"/>
          </w:tcPr>
          <w:p>
            <w:pPr>
              <w:rPr>
                <w:rFonts w:ascii="宋体" w:hAnsi="宋体" w:eastAsia="宋体" w:cs="宋体"/>
                <w:color w:val="auto"/>
                <w:sz w:val="20"/>
                <w:szCs w:val="20"/>
                <w:lang w:val="zh-TW" w:eastAsia="zh-CN" w:bidi="zh-TW"/>
              </w:rPr>
            </w:pPr>
            <w:r>
              <w:rPr>
                <w:rFonts w:hint="eastAsia" w:eastAsia="宋体"/>
                <w:color w:val="auto"/>
                <w:sz w:val="20"/>
                <w:szCs w:val="20"/>
                <w:lang w:val="zh-TW" w:eastAsia="zh-CN" w:bidi="zh-TW"/>
              </w:rPr>
              <w:t>6</w:t>
            </w:r>
            <w:r>
              <w:rPr>
                <w:rFonts w:hint="eastAsia"/>
                <w:color w:val="auto"/>
                <w:sz w:val="20"/>
                <w:szCs w:val="20"/>
                <w:lang w:val="en-US" w:eastAsia="zh-CN" w:bidi="zh-TW"/>
              </w:rPr>
              <w:t>2</w:t>
            </w:r>
          </w:p>
        </w:tc>
        <w:tc>
          <w:tcPr>
            <w:tcW w:w="2520" w:type="dxa"/>
            <w:shd w:val="clear" w:color="auto" w:fill="FFFFFF"/>
            <w:noWrap w:val="0"/>
            <w:vAlign w:val="center"/>
          </w:tcPr>
          <w:p>
            <w:pPr>
              <w:spacing w:after="120"/>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企业未依照规定公开其执行</w:t>
            </w:r>
          </w:p>
          <w:p>
            <w:pPr>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标准的</w:t>
            </w:r>
          </w:p>
        </w:tc>
        <w:tc>
          <w:tcPr>
            <w:tcW w:w="2205" w:type="dxa"/>
            <w:shd w:val="clear" w:color="auto" w:fill="FFFFFF"/>
            <w:noWrap w:val="0"/>
            <w:vAlign w:val="center"/>
          </w:tcPr>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立即自行改正或在责令改正的期限内改正的。</w:t>
            </w:r>
          </w:p>
        </w:tc>
        <w:tc>
          <w:tcPr>
            <w:tcW w:w="38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标准化法》第二十七条第一款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 幵。</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第三十八条企业未依照本法规定公开其执行的标准的,由标准化行政主管部门责令限期改正;逾期不改正的，在标准信息公共服务平台上公示。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73" w:hRule="exact"/>
        </w:trPr>
        <w:tc>
          <w:tcPr>
            <w:tcW w:w="540" w:type="dxa"/>
            <w:shd w:val="clear" w:color="auto" w:fill="FFFFFF"/>
            <w:noWrap w:val="0"/>
            <w:vAlign w:val="center"/>
          </w:tcPr>
          <w:p>
            <w:pPr>
              <w:rPr>
                <w:rFonts w:hint="eastAsia" w:ascii="宋体" w:hAnsi="宋体" w:eastAsia="宋体" w:cs="宋体"/>
                <w:color w:val="auto"/>
                <w:kern w:val="2"/>
                <w:sz w:val="21"/>
                <w:szCs w:val="24"/>
                <w:lang w:val="zh-TW" w:eastAsia="zh-CN" w:bidi="zh-TW"/>
              </w:rPr>
            </w:pPr>
            <w:r>
              <w:rPr>
                <w:rFonts w:hint="eastAsia" w:eastAsia="宋体"/>
                <w:color w:val="auto"/>
                <w:lang w:val="zh-TW" w:eastAsia="zh-CN" w:bidi="zh-TW"/>
              </w:rPr>
              <w:t>6</w:t>
            </w:r>
            <w:r>
              <w:rPr>
                <w:rFonts w:hint="eastAsia"/>
                <w:color w:val="auto"/>
                <w:lang w:val="en-US" w:eastAsia="zh-CN" w:bidi="zh-TW"/>
              </w:rPr>
              <w:t>3</w:t>
            </w:r>
          </w:p>
        </w:tc>
        <w:tc>
          <w:tcPr>
            <w:tcW w:w="2520" w:type="dxa"/>
            <w:shd w:val="clear" w:color="auto" w:fill="FFFFFF"/>
            <w:noWrap w:val="0"/>
            <w:vAlign w:val="center"/>
          </w:tcPr>
          <w:p>
            <w:pPr>
              <w:spacing w:line="373"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生产、销售产品</w:t>
            </w:r>
            <w:r>
              <w:rPr>
                <w:rFonts w:hint="eastAsia" w:ascii="宋体" w:hAnsi="宋体" w:eastAsia="宋体" w:cs="宋体"/>
                <w:color w:val="auto"/>
                <w:sz w:val="20"/>
                <w:szCs w:val="20"/>
                <w:lang w:val="zh-TW" w:eastAsia="zh-CN" w:bidi="zh-TW"/>
              </w:rPr>
              <w:t>（非食品）</w:t>
            </w:r>
            <w:r>
              <w:rPr>
                <w:rFonts w:ascii="宋体" w:hAnsi="宋体" w:eastAsia="宋体" w:cs="宋体"/>
                <w:color w:val="auto"/>
                <w:sz w:val="20"/>
                <w:szCs w:val="20"/>
                <w:lang w:val="zh-TW" w:eastAsia="zh-TW" w:bidi="zh-TW"/>
              </w:rPr>
              <w:t>标识不符合《中华 人民共和国产品质量法》第二十七条第一款第一项至第三项</w:t>
            </w:r>
          </w:p>
        </w:tc>
        <w:tc>
          <w:tcPr>
            <w:tcW w:w="2205" w:type="dxa"/>
            <w:shd w:val="clear" w:color="auto" w:fill="FFFFFF"/>
            <w:noWrap w:val="0"/>
            <w:vAlign w:val="center"/>
          </w:tcPr>
          <w:p>
            <w:pPr>
              <w:spacing w:line="360" w:lineRule="exact"/>
              <w:jc w:val="both"/>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w:t>
            </w:r>
          </w:p>
        </w:tc>
        <w:tc>
          <w:tcPr>
            <w:tcW w:w="3885" w:type="dxa"/>
            <w:shd w:val="clear" w:color="auto" w:fill="FFFFFF"/>
            <w:noWrap w:val="0"/>
            <w:vAlign w:val="bottom"/>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《中华人民共和国产品质量法》第二十七条第一款产品或者其包装上的标识必须真实,并符合下列要求:</w:t>
            </w:r>
          </w:p>
          <w:p>
            <w:pPr>
              <w:keepNext w:val="0"/>
              <w:keepLines w:val="0"/>
              <w:pageBreakBefore w:val="0"/>
              <w:widowControl w:val="0"/>
              <w:tabs>
                <w:tab w:val="left" w:pos="557"/>
              </w:tabs>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（一）有产品质量检验合格证明；</w:t>
            </w:r>
          </w:p>
          <w:p>
            <w:pPr>
              <w:keepNext w:val="0"/>
              <w:keepLines w:val="0"/>
              <w:pageBreakBefore w:val="0"/>
              <w:widowControl w:val="0"/>
              <w:tabs>
                <w:tab w:val="left" w:pos="624"/>
              </w:tabs>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（二）</w:t>
            </w:r>
            <w:r>
              <w:rPr>
                <w:rFonts w:ascii="宋体" w:hAnsi="宋体" w:eastAsia="宋体" w:cs="宋体"/>
                <w:color w:val="auto"/>
                <w:sz w:val="20"/>
                <w:szCs w:val="20"/>
                <w:lang w:val="zh-TW" w:eastAsia="zh-TW" w:bidi="zh-TW"/>
              </w:rPr>
              <w:tab/>
            </w:r>
            <w:r>
              <w:rPr>
                <w:rFonts w:ascii="宋体" w:hAnsi="宋体" w:eastAsia="宋体" w:cs="宋体"/>
                <w:color w:val="auto"/>
                <w:sz w:val="20"/>
                <w:szCs w:val="20"/>
                <w:lang w:val="zh-TW" w:eastAsia="zh-TW" w:bidi="zh-TW"/>
              </w:rPr>
              <w:t>有中文标明的产品名称、生产厂厂名和厂址；</w:t>
            </w:r>
          </w:p>
          <w:p>
            <w:pPr>
              <w:keepNext w:val="0"/>
              <w:keepLines w:val="0"/>
              <w:pageBreakBefore w:val="0"/>
              <w:widowControl w:val="0"/>
              <w:tabs>
                <w:tab w:val="left" w:pos="624"/>
              </w:tabs>
              <w:kinsoku/>
              <w:wordWrap/>
              <w:overflowPunct/>
              <w:topLinePunct w:val="0"/>
              <w:autoSpaceDE/>
              <w:autoSpaceDN/>
              <w:bidi w:val="0"/>
              <w:adjustRightInd/>
              <w:snapToGrid/>
              <w:spacing w:line="320" w:lineRule="exact"/>
              <w:jc w:val="both"/>
              <w:textAlignment w:val="auto"/>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（三）</w:t>
            </w:r>
            <w:r>
              <w:rPr>
                <w:rFonts w:ascii="宋体" w:hAnsi="宋体" w:eastAsia="宋体" w:cs="宋体"/>
                <w:color w:val="auto"/>
                <w:sz w:val="20"/>
                <w:szCs w:val="20"/>
                <w:lang w:val="zh-TW" w:eastAsia="zh-TW" w:bidi="zh-TW"/>
              </w:rPr>
              <w:tab/>
            </w:r>
            <w:r>
              <w:rPr>
                <w:rFonts w:ascii="宋体" w:hAnsi="宋体" w:eastAsia="宋体" w:cs="宋体"/>
                <w:color w:val="auto"/>
                <w:sz w:val="20"/>
                <w:szCs w:val="20"/>
                <w:lang w:val="zh-TW" w:eastAsia="zh-TW" w:bidi="zh-TW"/>
              </w:rPr>
              <w:t>根据产品的特点和使用要求，需要标明产品规格、等级、所含主要成份的名称和含量的，用中文相应予以标明 需要事先让消费者知晓的，应当在外包装上标明，或者预先向消费者提供有关 资料……</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eastAsia="宋体" w:cs="宋体"/>
                <w:color w:val="auto"/>
                <w:kern w:val="2"/>
                <w:sz w:val="20"/>
                <w:szCs w:val="20"/>
                <w:lang w:val="zh-TW" w:eastAsia="zh-TW" w:bidi="zh-TW"/>
              </w:rPr>
            </w:pPr>
            <w:r>
              <w:rPr>
                <w:rFonts w:ascii="宋体" w:hAnsi="宋体" w:eastAsia="宋体" w:cs="宋体"/>
                <w:color w:val="auto"/>
                <w:sz w:val="20"/>
                <w:szCs w:val="20"/>
                <w:lang w:val="zh-TW" w:eastAsia="zh-TW" w:bidi="zh-TW"/>
              </w:rPr>
              <w:t>第五十四条产品标识不符合本法第二十七条规定的，责令改正；</w:t>
            </w:r>
            <w:r>
              <w:rPr>
                <w:rFonts w:ascii="宋体" w:hAnsi="宋体" w:eastAsia="宋体" w:cs="宋体"/>
                <w:color w:val="auto"/>
                <w:sz w:val="20"/>
                <w:szCs w:val="20"/>
                <w:lang w:val="zh-TW" w:eastAsia="zh-CN" w:bidi="zh-TW"/>
              </w:rPr>
              <w:t>……</w:t>
            </w:r>
            <w:r>
              <w:rPr>
                <w:rFonts w:ascii="宋体" w:hAnsi="宋体" w:eastAsia="宋体" w:cs="宋体"/>
                <w:color w:val="auto"/>
                <w:sz w:val="20"/>
                <w:szCs w:val="20"/>
                <w:lang w:val="zh-TW" w:eastAsia="zh-TW" w:bidi="zh-TW"/>
              </w:rPr>
              <w:t>。</w:t>
            </w:r>
          </w:p>
        </w:tc>
      </w:tr>
    </w:tbl>
    <w:p>
      <w:pPr>
        <w:spacing w:line="1" w:lineRule="exact"/>
        <w:rPr>
          <w:sz w:val="2"/>
          <w:szCs w:val="2"/>
          <w:lang w:eastAsia="zh-CN"/>
        </w:rPr>
      </w:pPr>
      <w:r>
        <w:rPr>
          <w:lang w:eastAsia="zh-CN"/>
        </w:rPr>
        <w:br w:type="page"/>
      </w:r>
    </w:p>
    <w:tbl>
      <w:tblPr>
        <w:tblStyle w:val="4"/>
        <w:tblpPr w:leftFromText="180" w:rightFromText="180" w:vertAnchor="text" w:horzAnchor="page" w:tblpX="1307" w:tblpY="25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40"/>
        <w:gridCol w:w="2513"/>
        <w:gridCol w:w="2197"/>
        <w:gridCol w:w="3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8" w:hRule="exact"/>
        </w:trPr>
        <w:tc>
          <w:tcPr>
            <w:tcW w:w="540" w:type="dxa"/>
            <w:shd w:val="clear" w:color="auto" w:fill="FFFFFF"/>
            <w:noWrap w:val="0"/>
            <w:vAlign w:val="center"/>
          </w:tcPr>
          <w:p>
            <w:pP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序号</w:t>
            </w:r>
          </w:p>
        </w:tc>
        <w:tc>
          <w:tcPr>
            <w:tcW w:w="2513" w:type="dxa"/>
            <w:shd w:val="clear" w:color="auto" w:fill="FFFFFF"/>
            <w:noWrap w:val="0"/>
            <w:vAlign w:val="center"/>
          </w:tcPr>
          <w:p>
            <w:pPr>
              <w:ind w:firstLine="440"/>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违法行为（列举）</w:t>
            </w:r>
          </w:p>
        </w:tc>
        <w:tc>
          <w:tcPr>
            <w:tcW w:w="2197"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不予处罚条件</w:t>
            </w:r>
          </w:p>
        </w:tc>
        <w:tc>
          <w:tcPr>
            <w:tcW w:w="3900" w:type="dxa"/>
            <w:shd w:val="clear" w:color="auto" w:fill="FFFFFF"/>
            <w:noWrap w:val="0"/>
            <w:vAlign w:val="center"/>
          </w:tcPr>
          <w:p>
            <w:pPr>
              <w:jc w:val="center"/>
              <w:rPr>
                <w:rFonts w:ascii="宋体" w:hAnsi="宋体" w:eastAsia="宋体" w:cs="宋体"/>
                <w:sz w:val="20"/>
                <w:szCs w:val="20"/>
                <w:lang w:val="zh-TW" w:eastAsia="zh-TW" w:bidi="zh-TW"/>
              </w:rPr>
            </w:pPr>
            <w:r>
              <w:rPr>
                <w:rFonts w:ascii="宋体" w:hAnsi="宋体" w:eastAsia="宋体" w:cs="宋体"/>
                <w:b/>
                <w:bCs/>
                <w:sz w:val="20"/>
                <w:szCs w:val="20"/>
                <w:lang w:val="zh-TW" w:eastAsia="zh-TW" w:bidi="zh-TW"/>
              </w:rPr>
              <w:t>法律依据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9" w:hRule="exact"/>
        </w:trPr>
        <w:tc>
          <w:tcPr>
            <w:tcW w:w="540" w:type="dxa"/>
            <w:shd w:val="clear" w:color="auto" w:fill="FFFFFF"/>
            <w:noWrap w:val="0"/>
            <w:vAlign w:val="center"/>
          </w:tcPr>
          <w:p>
            <w:pPr>
              <w:rPr>
                <w:rFonts w:ascii="宋体" w:hAnsi="宋体" w:eastAsia="宋体" w:cs="宋体"/>
                <w:color w:val="auto"/>
                <w:lang w:val="zh-TW" w:eastAsia="zh-CN" w:bidi="zh-TW"/>
              </w:rPr>
            </w:pPr>
            <w:r>
              <w:rPr>
                <w:rFonts w:hint="eastAsia" w:eastAsia="宋体"/>
                <w:color w:val="auto"/>
                <w:lang w:val="zh-TW" w:eastAsia="zh-CN" w:bidi="zh-TW"/>
              </w:rPr>
              <w:t>6</w:t>
            </w:r>
            <w:r>
              <w:rPr>
                <w:rFonts w:hint="eastAsia"/>
                <w:color w:val="auto"/>
                <w:lang w:val="en-US" w:eastAsia="zh-CN" w:bidi="zh-TW"/>
              </w:rPr>
              <w:t>4</w:t>
            </w:r>
          </w:p>
        </w:tc>
        <w:tc>
          <w:tcPr>
            <w:tcW w:w="2513" w:type="dxa"/>
            <w:shd w:val="clear" w:color="auto" w:fill="FFFFFF"/>
            <w:noWrap w:val="0"/>
            <w:vAlign w:val="center"/>
          </w:tcPr>
          <w:p>
            <w:pPr>
              <w:spacing w:line="365"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获证产品及其销售包装上标 注的认证证书所含内容与认 证证书内容不一致的</w:t>
            </w:r>
          </w:p>
        </w:tc>
        <w:tc>
          <w:tcPr>
            <w:tcW w:w="2197" w:type="dxa"/>
            <w:shd w:val="clear" w:color="auto" w:fill="FFFFFF"/>
            <w:noWrap w:val="0"/>
            <w:vAlign w:val="center"/>
          </w:tcPr>
          <w:p>
            <w:pPr>
              <w:spacing w:line="361"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立即自行改正或在责令改正的期限内改正的。</w:t>
            </w:r>
          </w:p>
        </w:tc>
        <w:tc>
          <w:tcPr>
            <w:tcW w:w="3900" w:type="dxa"/>
            <w:shd w:val="clear" w:color="auto" w:fill="FFFFFF"/>
            <w:noWrap w:val="0"/>
            <w:vAlign w:val="center"/>
          </w:tcPr>
          <w:p>
            <w:pPr>
              <w:spacing w:line="357"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《强制性产品认证管理规定》第二十三条获证产品及其销售包装上标注认证证书所含内容的，应当与认证证书的内容相一致，并符合国家有关产品标识标注管理规定。</w:t>
            </w:r>
          </w:p>
          <w:p>
            <w:pPr>
              <w:spacing w:line="357"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第五十五条有下列情形之一的,由地方质检两局责令其限期改正，逾期未改正的，处</w:t>
            </w:r>
            <w:r>
              <w:rPr>
                <w:color w:val="auto"/>
                <w:lang w:val="zh-TW" w:eastAsia="zh-TW" w:bidi="zh-TW"/>
              </w:rPr>
              <w:t>2</w:t>
            </w:r>
            <w:r>
              <w:rPr>
                <w:rFonts w:ascii="宋体" w:hAnsi="宋体" w:eastAsia="宋体" w:cs="宋体"/>
                <w:color w:val="auto"/>
                <w:sz w:val="20"/>
                <w:szCs w:val="20"/>
                <w:lang w:val="zh-TW" w:eastAsia="zh-TW" w:bidi="zh-TW"/>
              </w:rPr>
              <w:t>万元以下罚款。</w:t>
            </w:r>
          </w:p>
          <w:p>
            <w:pPr>
              <w:spacing w:line="362" w:lineRule="exact"/>
              <w:jc w:val="both"/>
              <w:rPr>
                <w:rFonts w:ascii="宋体" w:hAnsi="宋体" w:eastAsia="宋体" w:cs="宋体"/>
                <w:color w:val="auto"/>
                <w:sz w:val="20"/>
                <w:szCs w:val="20"/>
                <w:lang w:val="zh-TW" w:eastAsia="zh-TW" w:bidi="zh-TW"/>
              </w:rPr>
            </w:pPr>
            <w:r>
              <w:rPr>
                <w:rFonts w:ascii="宋体" w:hAnsi="宋体" w:eastAsia="宋体" w:cs="宋体"/>
                <w:color w:val="auto"/>
                <w:sz w:val="20"/>
                <w:szCs w:val="20"/>
                <w:lang w:val="zh-TW" w:eastAsia="zh-TW" w:bidi="zh-TW"/>
              </w:rPr>
              <w:t>（-）违反本规定第二十三条规定,获证产品及其销售包装上标注的认证证书所含内容与认证证书内容不一致的</w:t>
            </w:r>
            <w:r>
              <w:rPr>
                <w:rFonts w:ascii="宋体" w:hAnsi="宋体" w:eastAsia="宋体" w:cs="宋体"/>
                <w:color w:val="auto"/>
                <w:sz w:val="20"/>
                <w:szCs w:val="20"/>
                <w:lang w:eastAsia="zh-CN"/>
              </w:rPr>
              <w:t>......</w:t>
            </w:r>
          </w:p>
        </w:tc>
      </w:tr>
    </w:tbl>
    <w:p>
      <w:pPr>
        <w:rPr>
          <w:lang w:eastAsia="zh-CN"/>
        </w:rPr>
      </w:pPr>
    </w:p>
    <w:p>
      <w:pPr>
        <w:bidi w:val="0"/>
        <w:rPr>
          <w:rFonts w:ascii="Calibri" w:hAnsi="Calibri"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3354"/>
        </w:tabs>
        <w:bidi w:val="0"/>
        <w:jc w:val="left"/>
        <w:rPr>
          <w:lang w:val="en-US" w:eastAsia="zh-CN"/>
        </w:rPr>
        <w:sectPr>
          <w:footerReference r:id="rId15" w:type="default"/>
          <w:footerReference r:id="rId16" w:type="even"/>
          <w:pgSz w:w="11900" w:h="16840"/>
          <w:pgMar w:top="1995" w:right="1259" w:bottom="1844" w:left="1540" w:header="0" w:footer="3" w:gutter="0"/>
          <w:pgNumType w:fmt="numberInDash"/>
          <w:cols w:space="720" w:num="1"/>
          <w:docGrid w:linePitch="360" w:charSpace="0"/>
        </w:sectPr>
      </w:pPr>
      <w:r>
        <w:rPr>
          <w:rFonts w:hint="eastAsia"/>
          <w:lang w:val="en-US" w:eastAsia="zh-CN"/>
        </w:rPr>
        <w:tab/>
      </w:r>
    </w:p>
    <w:p/>
    <w:sectPr>
      <w:pgSz w:w="11906" w:h="16838"/>
      <w:pgMar w:top="1984" w:right="1531" w:bottom="181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CESI仿宋-GB18030">
    <w:panose1 w:val="02000500000000000000"/>
    <w:charset w:val="86"/>
    <w:family w:val="auto"/>
    <w:pitch w:val="default"/>
    <w:sig w:usb0="A00002BF" w:usb1="38C77CFA"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spacing w:line="360" w:lineRule="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XQu5HQ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RdC7kdAgAAKwQAAA4AAAAAAAAAAQAgAAAANQEAAGRycy9lMm9Eb2MueG1sUEsF&#10;BgAAAAAGAAYAWQEAAMQFAAAAAA==&#10;">
              <v:fill on="f" focussize="0,0"/>
              <v:stroke on="f" weight="0.5pt"/>
              <v:imagedata o:title=""/>
              <o:lock v:ext="edit" aspectratio="f"/>
              <v:textbox inset="0mm,0mm,0mm,0mm" style="mso-fit-shape-to-text:t;">
                <w:txbxContent>
                  <w:p>
                    <w:pPr>
                      <w:pStyle w:val="2"/>
                      <w:spacing w:line="360" w:lineRule="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1312" behindDoc="1" locked="0" layoutInCell="1" allowOverlap="1">
              <wp:simplePos x="0" y="0"/>
              <wp:positionH relativeFrom="page">
                <wp:posOffset>1035685</wp:posOffset>
              </wp:positionH>
              <wp:positionV relativeFrom="page">
                <wp:posOffset>9955530</wp:posOffset>
              </wp:positionV>
              <wp:extent cx="536575" cy="125095"/>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536575" cy="125095"/>
                      </a:xfrm>
                      <a:prstGeom prst="rect">
                        <a:avLst/>
                      </a:prstGeom>
                      <a:noFill/>
                      <a:ln>
                        <a:noFill/>
                      </a:ln>
                      <a:effectLst/>
                    </wps:spPr>
                    <wps:txbx>
                      <w:txbxContent>
                        <w:p>
                          <w:pPr>
                            <w:pStyle w:val="6"/>
                          </w:pPr>
                          <w:r>
                            <w:rPr>
                              <w:lang w:val="en-US" w:eastAsia="en-US" w:bidi="en-US"/>
                            </w:rPr>
                            <w:t>-</w:t>
                          </w:r>
                          <w:r>
                            <w:fldChar w:fldCharType="begin"/>
                          </w:r>
                          <w:r>
                            <w:instrText xml:space="preserve"> PAGE \* MERGEFORMAT </w:instrText>
                          </w:r>
                          <w:r>
                            <w:fldChar w:fldCharType="separate"/>
                          </w:r>
                          <w:r>
                            <w:t>14</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81.55pt;margin-top:783.9pt;height:9.85pt;width:42.25pt;mso-position-horizontal-relative:page;mso-position-vertical-relative:page;mso-wrap-style:none;z-index:-251655168;mso-width-relative:page;mso-height-relative:page;" filled="f" stroked="f" coordsize="21600,21600" o:gfxdata="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b9iZa2AAAAA0BAAAPAAAAAAAAAAEAIAAAADgAAABkcnMv&#10;ZG93bnJldi54bWxQSwECFAAUAAAACACHTuJAPTxUz7QBAABQAwAADgAAAAAAAAABACAAAAA9AQAA&#10;ZHJzL2Uyb0RvYy54bWxQSwUGAAAAAAYABgBZAQAAYwUAAAAA&#10;">
              <v:fill on="f" focussize="0,0"/>
              <v:stroke on="f"/>
              <v:imagedata o:title=""/>
              <o:lock v:ext="edit" aspectratio="f"/>
              <v:textbox inset="0mm,0mm,0mm,0mm" style="mso-fit-shape-to-text:t;">
                <w:txbxContent>
                  <w:p>
                    <w:pPr>
                      <w:pStyle w:val="6"/>
                    </w:pPr>
                    <w:r>
                      <w:rPr>
                        <w:lang w:val="en-US" w:eastAsia="en-US" w:bidi="en-US"/>
                      </w:rPr>
                      <w:t>-</w:t>
                    </w:r>
                    <w:r>
                      <w:fldChar w:fldCharType="begin"/>
                    </w:r>
                    <w:r>
                      <w:instrText xml:space="preserve"> PAGE \* MERGEFORMAT </w:instrText>
                    </w:r>
                    <w:r>
                      <w:fldChar w:fldCharType="separate"/>
                    </w:r>
                    <w:r>
                      <w:t>14</w:t>
                    </w:r>
                    <w:r>
                      <w:fldChar w:fldCharType="end"/>
                    </w:r>
                    <w:r>
                      <w:t xml:space="preserve"> </w:t>
                    </w:r>
                    <w:r>
                      <w:rPr>
                        <w:lang w:val="en-US" w:eastAsia="en-US" w:bidi="en-US"/>
                      </w:rPr>
                      <w:t>-</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MpAKU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1" locked="0" layoutInCell="1" allowOverlap="1">
              <wp:simplePos x="0" y="0"/>
              <wp:positionH relativeFrom="page">
                <wp:posOffset>1118235</wp:posOffset>
              </wp:positionH>
              <wp:positionV relativeFrom="page">
                <wp:posOffset>9935845</wp:posOffset>
              </wp:positionV>
              <wp:extent cx="530225" cy="125095"/>
              <wp:effectExtent l="0" t="0" r="0" b="0"/>
              <wp:wrapNone/>
              <wp:docPr id="26" name="文本框 26"/>
              <wp:cNvGraphicFramePr/>
              <a:graphic xmlns:a="http://schemas.openxmlformats.org/drawingml/2006/main">
                <a:graphicData uri="http://schemas.microsoft.com/office/word/2010/wordprocessingShape">
                  <wps:wsp>
                    <wps:cNvSpPr txBox="true"/>
                    <wps:spPr>
                      <a:xfrm>
                        <a:off x="0" y="0"/>
                        <a:ext cx="530225" cy="125095"/>
                      </a:xfrm>
                      <a:prstGeom prst="rect">
                        <a:avLst/>
                      </a:prstGeom>
                      <a:noFill/>
                      <a:ln>
                        <a:noFill/>
                      </a:ln>
                      <a:effectLst/>
                    </wps:spPr>
                    <wps:txbx>
                      <w:txbxContent>
                        <w:p>
                          <w:pPr>
                            <w:pStyle w:val="6"/>
                          </w:pPr>
                          <w:r>
                            <w:rPr>
                              <w:lang w:val="en-US" w:eastAsia="en-US" w:bidi="en-US"/>
                            </w:rPr>
                            <w:t>-</w:t>
                          </w:r>
                          <w:r>
                            <w:fldChar w:fldCharType="begin"/>
                          </w:r>
                          <w:r>
                            <w:instrText xml:space="preserve"> PAGE \* MERGEFORMAT </w:instrText>
                          </w:r>
                          <w:r>
                            <w:fldChar w:fldCharType="separate"/>
                          </w:r>
                          <w:r>
                            <w:t>22</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 id="_x0000_s1026" o:spid="_x0000_s1026" o:spt="202" type="#_x0000_t202" style="position:absolute;left:0pt;margin-left:88.05pt;margin-top:782.35pt;height:9.85pt;width:41.75pt;mso-position-horizontal-relative:page;mso-position-vertical-relative:page;mso-wrap-style:none;z-index:-251654144;mso-width-relative:page;mso-height-relative:page;" filled="f" stroked="f" coordsize="21600,21600" o:gfxdata="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FHIa02AAAAA0BAAAPAAAAAAAAAAEAIAAAADgAAABkcnMv&#10;ZG93bnJldi54bWxQSwECFAAUAAAACACHTuJAkVW2E7QBAABQAwAADgAAAAAAAAABACAAAAA9AQAA&#10;ZHJzL2Uyb0RvYy54bWxQSwUGAAAAAAYABgBZAQAAYwUAAAAA&#10;">
              <v:fill on="f" focussize="0,0"/>
              <v:stroke on="f"/>
              <v:imagedata o:title=""/>
              <o:lock v:ext="edit" aspectratio="f"/>
              <v:textbox inset="0mm,0mm,0mm,0mm" style="mso-fit-shape-to-text:t;">
                <w:txbxContent>
                  <w:p>
                    <w:pPr>
                      <w:pStyle w:val="6"/>
                    </w:pPr>
                    <w:r>
                      <w:rPr>
                        <w:lang w:val="en-US" w:eastAsia="en-US" w:bidi="en-US"/>
                      </w:rPr>
                      <w:t>-</w:t>
                    </w:r>
                    <w:r>
                      <w:fldChar w:fldCharType="begin"/>
                    </w:r>
                    <w:r>
                      <w:instrText xml:space="preserve"> PAGE \* MERGEFORMAT </w:instrText>
                    </w:r>
                    <w:r>
                      <w:fldChar w:fldCharType="separate"/>
                    </w:r>
                    <w:r>
                      <w:t>22</w:t>
                    </w:r>
                    <w:r>
                      <w:fldChar w:fldCharType="end"/>
                    </w:r>
                    <w:r>
                      <w:t xml:space="preserve"> </w:t>
                    </w:r>
                    <w:r>
                      <w:rPr>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n+0F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yQ0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af7QU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59264" behindDoc="1" locked="0" layoutInCell="1" allowOverlap="1">
              <wp:simplePos x="0" y="0"/>
              <wp:positionH relativeFrom="page">
                <wp:posOffset>1035685</wp:posOffset>
              </wp:positionH>
              <wp:positionV relativeFrom="page">
                <wp:posOffset>9955530</wp:posOffset>
              </wp:positionV>
              <wp:extent cx="536575" cy="12509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536575" cy="125095"/>
                      </a:xfrm>
                      <a:prstGeom prst="rect">
                        <a:avLst/>
                      </a:prstGeom>
                      <a:noFill/>
                      <a:ln>
                        <a:noFill/>
                      </a:ln>
                      <a:effectLst/>
                    </wps:spPr>
                    <wps:txbx>
                      <w:txbxContent>
                        <w:p>
                          <w:pPr>
                            <w:pStyle w:val="6"/>
                          </w:pPr>
                          <w:r>
                            <w:rPr>
                              <w:lang w:val="en-US" w:eastAsia="en-US" w:bidi="en-US"/>
                            </w:rPr>
                            <w:t>-</w:t>
                          </w:r>
                          <w:r>
                            <w:fldChar w:fldCharType="begin"/>
                          </w:r>
                          <w:r>
                            <w:instrText xml:space="preserve"> PAGE \* MERGEFORMAT </w:instrText>
                          </w:r>
                          <w:r>
                            <w:fldChar w:fldCharType="separate"/>
                          </w:r>
                          <w:r>
                            <w:t>10</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81.55pt;margin-top:783.9pt;height:9.85pt;width:42.25pt;mso-position-horizontal-relative:page;mso-position-vertical-relative:page;mso-wrap-style:none;z-index:-251657216;mso-width-relative:page;mso-height-relative:page;" filled="f" stroked="f" coordsize="21600,21600" o:gfxdata="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b9iZa2AAAAA0BAAAPAAAAAAAAAAEAIAAAADgAAABkcnMv&#10;ZG93bnJldi54bWxQSwECFAAUAAAACACHTuJAErQdm7QBAABQAwAADgAAAAAAAAABACAAAAA9AQAA&#10;ZHJzL2Uyb0RvYy54bWxQSwUGAAAAAAYABgBZAQAAYwUAAAAA&#10;">
              <v:fill on="f" focussize="0,0"/>
              <v:stroke on="f"/>
              <v:imagedata o:title=""/>
              <o:lock v:ext="edit" aspectratio="f"/>
              <v:textbox inset="0mm,0mm,0mm,0mm" style="mso-fit-shape-to-text:t;">
                <w:txbxContent>
                  <w:p>
                    <w:pPr>
                      <w:pStyle w:val="6"/>
                    </w:pPr>
                    <w:r>
                      <w:rPr>
                        <w:lang w:val="en-US" w:eastAsia="en-US" w:bidi="en-US"/>
                      </w:rPr>
                      <w:t>-</w:t>
                    </w:r>
                    <w:r>
                      <w:fldChar w:fldCharType="begin"/>
                    </w:r>
                    <w:r>
                      <w:instrText xml:space="preserve"> PAGE \* MERGEFORMAT </w:instrText>
                    </w:r>
                    <w:r>
                      <w:fldChar w:fldCharType="separate"/>
                    </w:r>
                    <w:r>
                      <w:t>10</w:t>
                    </w:r>
                    <w:r>
                      <w:fldChar w:fldCharType="end"/>
                    </w:r>
                    <w:r>
                      <w:t xml:space="preserve"> </w:t>
                    </w:r>
                    <w:r>
                      <w:rPr>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q3L+FHQIAACsEAAAOAAAAZHJz&#10;L2Uyb0RvYy54bWytU82O0zAQviPxDpbvNGmBVV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gxTGNGp29fT9+fTj++&#10;ELwBoMaFGfw2Dp6xfWPbgka/F4Mp4D213kqv042mCFyA9vGCsGgj4XgcTyfTaQ4Th21QkCK7fnc+&#10;xLfCapKEgnqMsEOWHdYhnl0Hl5TN2FWtVDdGZUhT0JuXr/P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Crcv4U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YHlk5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Tm4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BYHlk5HgIAACsEAAAOAAAAAAAAAAEAIAAAADUBAABkcnMvZTJvRG9jLnhtbFBL&#10;BQYAAAAABgAGAFkBAADF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0288" behindDoc="1" locked="0" layoutInCell="1" allowOverlap="1">
              <wp:simplePos x="0" y="0"/>
              <wp:positionH relativeFrom="page">
                <wp:posOffset>6360160</wp:posOffset>
              </wp:positionH>
              <wp:positionV relativeFrom="page">
                <wp:posOffset>9970770</wp:posOffset>
              </wp:positionV>
              <wp:extent cx="341630" cy="125095"/>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341630" cy="125095"/>
                      </a:xfrm>
                      <a:prstGeom prst="rect">
                        <a:avLst/>
                      </a:prstGeom>
                      <a:noFill/>
                      <a:ln>
                        <a:noFill/>
                      </a:ln>
                      <a:effectLst/>
                    </wps:spPr>
                    <wps:txbx>
                      <w:txbxContent>
                        <w:p>
                          <w:pPr>
                            <w:pStyle w:val="6"/>
                          </w:pPr>
                          <w:r>
                            <w:fldChar w:fldCharType="begin"/>
                          </w:r>
                          <w:r>
                            <w:instrText xml:space="preserve"> PAGE \* MERGEFORMAT </w:instrText>
                          </w:r>
                          <w:r>
                            <w:fldChar w:fldCharType="separate"/>
                          </w:r>
                          <w:r>
                            <w:t>12</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 id="_x0000_s1026" o:spid="_x0000_s1026" o:spt="202" type="#_x0000_t202" style="position:absolute;left:0pt;margin-left:500.8pt;margin-top:785.1pt;height:9.85pt;width:26.9pt;mso-position-horizontal-relative:page;mso-position-vertical-relative:page;mso-wrap-style:none;z-index:-251656192;mso-width-relative:page;mso-height-relative:page;" filled="f" stroked="f" coordsize="21600,21600" o:gfxdata="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BAZgiPZAAAADwEAAA8AAAAAAAAAAQAgAAAAOAAAAGRy&#10;cy9kb3ducmV2LnhtbFBLAQIUABQAAAAIAIdO4kAJ0hlktQEAAFADAAAOAAAAAAAAAAEAIAAAAD4B&#10;AABkcnMvZTJvRG9jLnhtbFBLBQYAAAAABgAGAFkBAABl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12</w:t>
                    </w:r>
                    <w:r>
                      <w:fldChar w:fldCharType="end"/>
                    </w:r>
                    <w:r>
                      <w:t xml:space="preserve"> </w:t>
                    </w:r>
                    <w:r>
                      <w:rPr>
                        <w:lang w:val="zh-TW" w:eastAsia="zh-TW" w:bidi="zh-TW"/>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9nOWbHQIAACsEAAAOAAAAZHJz&#10;L2Uyb0RvYy54bWytU82O0zAQviPxDpbvNGkRS1U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2c5ZsdAgAAKw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39b8HAIAACs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dt/W/BwCAAArBAAADgAAAAAAAAABACAAAAA1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48803"/>
    <w:multiLevelType w:val="singleLevel"/>
    <w:tmpl w:val="CCF48803"/>
    <w:lvl w:ilvl="0" w:tentative="0">
      <w:start w:val="1"/>
      <w:numFmt w:val="chineseCounting"/>
      <w:suff w:val="nothing"/>
      <w:lvlText w:val="（%1）"/>
      <w:lvlJc w:val="left"/>
      <w:rPr>
        <w:rFonts w:hint="eastAsia"/>
      </w:rPr>
    </w:lvl>
  </w:abstractNum>
  <w:abstractNum w:abstractNumId="1">
    <w:nsid w:val="D9FE1399"/>
    <w:multiLevelType w:val="singleLevel"/>
    <w:tmpl w:val="D9FE1399"/>
    <w:lvl w:ilvl="0" w:tentative="0">
      <w:start w:val="4"/>
      <w:numFmt w:val="chineseCounting"/>
      <w:suff w:val="nothing"/>
      <w:lvlText w:val="%1、"/>
      <w:lvlJc w:val="left"/>
      <w:rPr>
        <w:rFonts w:hint="eastAsia"/>
      </w:rPr>
    </w:lvl>
  </w:abstractNum>
  <w:abstractNum w:abstractNumId="2">
    <w:nsid w:val="DD4C9043"/>
    <w:multiLevelType w:val="singleLevel"/>
    <w:tmpl w:val="DD4C9043"/>
    <w:lvl w:ilvl="0" w:tentative="0">
      <w:start w:val="1"/>
      <w:numFmt w:val="chineseCounting"/>
      <w:suff w:val="nothing"/>
      <w:lvlText w:val="%1、"/>
      <w:lvlJc w:val="left"/>
      <w:rPr>
        <w:rFonts w:hint="eastAsia"/>
      </w:rPr>
    </w:lvl>
  </w:abstractNum>
  <w:abstractNum w:abstractNumId="3">
    <w:nsid w:val="FB3E11A5"/>
    <w:multiLevelType w:val="singleLevel"/>
    <w:tmpl w:val="FB3E11A5"/>
    <w:lvl w:ilvl="0" w:tentative="0">
      <w:start w:val="1"/>
      <w:numFmt w:val="chineseCounting"/>
      <w:suff w:val="nothing"/>
      <w:lvlText w:val="（%1）"/>
      <w:lvlJc w:val="left"/>
      <w:rPr>
        <w:rFonts w:hint="eastAsia"/>
      </w:rPr>
    </w:lvl>
  </w:abstractNum>
  <w:abstractNum w:abstractNumId="4">
    <w:nsid w:val="7FE98B08"/>
    <w:multiLevelType w:val="singleLevel"/>
    <w:tmpl w:val="7FE98B08"/>
    <w:lvl w:ilvl="0" w:tentative="0">
      <w:start w:val="2"/>
      <w:numFmt w:val="chineseCounting"/>
      <w:suff w:val="nothing"/>
      <w:lvlText w:val="（%1）"/>
      <w:lvlJc w:val="left"/>
      <w:rPr>
        <w:rFonts w:hint="eastAsia"/>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547CB"/>
    <w:rsid w:val="0BE1728A"/>
    <w:rsid w:val="1AF70A4E"/>
    <w:rsid w:val="1F0FC73B"/>
    <w:rsid w:val="2A405F77"/>
    <w:rsid w:val="2F872D05"/>
    <w:rsid w:val="32C75C82"/>
    <w:rsid w:val="3EFB41F2"/>
    <w:rsid w:val="3F407AFB"/>
    <w:rsid w:val="3FF7419B"/>
    <w:rsid w:val="4FBF1BD3"/>
    <w:rsid w:val="4FFD6B5F"/>
    <w:rsid w:val="56A35648"/>
    <w:rsid w:val="57DC7856"/>
    <w:rsid w:val="5CEF56DC"/>
    <w:rsid w:val="5F4E71AE"/>
    <w:rsid w:val="723547CB"/>
    <w:rsid w:val="78AC6901"/>
    <w:rsid w:val="78CB3FE0"/>
    <w:rsid w:val="7AB71FA4"/>
    <w:rsid w:val="7AEC944A"/>
    <w:rsid w:val="7FCF1F29"/>
    <w:rsid w:val="BDD315C7"/>
    <w:rsid w:val="CFFF420E"/>
    <w:rsid w:val="EE7D1F6F"/>
    <w:rsid w:val="F8EE563F"/>
    <w:rsid w:val="F9E6A9E3"/>
    <w:rsid w:val="FDEADA80"/>
    <w:rsid w:val="FEEBF563"/>
    <w:rsid w:val="FEEFAA40"/>
    <w:rsid w:val="FFBB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er or footer|1"/>
    <w:basedOn w:val="1"/>
    <w:qFormat/>
    <w:uiPriority w:val="0"/>
    <w:rPr>
      <w:rFonts w:ascii="宋体" w:hAnsi="宋体" w:eastAsia="宋体" w:cs="宋体"/>
      <w:sz w:val="28"/>
      <w:szCs w:val="2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2021-05-26T03:43:00Z</dcterms:created>
  <dc:creator>Qi胖妞</dc:creator>
  <cp:lastModifiedBy>jdz</cp:lastModifiedBy>
  <cp:lastPrinted>2021-06-02T00:58:00Z</cp:lastPrinted>
  <dcterms:modified xsi:type="dcterms:W3CDTF">2021-06-09T07:57:25Z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1EAF887D14EF429A9482BC6799A54C98</vt:lpwstr>
  </property>
</Properties>
</file>